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0E3CC" w14:textId="75ECBC5B" w:rsidR="002151E9" w:rsidRPr="001F5B42" w:rsidRDefault="005D7D46" w:rsidP="00C73B89">
      <w:pPr>
        <w:spacing w:beforeLines="50" w:before="120"/>
        <w:rPr>
          <w:rFonts w:cs="Times New Roman"/>
        </w:rPr>
      </w:pPr>
      <w:r w:rsidRPr="001F5B42">
        <w:rPr>
          <w:rFonts w:cs="Times New Roman"/>
          <w:b/>
          <w:noProof/>
        </w:rPr>
        <mc:AlternateContent>
          <mc:Choice Requires="wps">
            <w:drawing>
              <wp:anchor distT="0" distB="0" distL="114300" distR="114300" simplePos="0" relativeHeight="251661312" behindDoc="0" locked="0" layoutInCell="1" allowOverlap="1" wp14:anchorId="6B2CF7FC" wp14:editId="0C0D8CCB">
                <wp:simplePos x="0" y="0"/>
                <wp:positionH relativeFrom="margin">
                  <wp:posOffset>4464050</wp:posOffset>
                </wp:positionH>
                <wp:positionV relativeFrom="paragraph">
                  <wp:posOffset>113030</wp:posOffset>
                </wp:positionV>
                <wp:extent cx="2533650" cy="340995"/>
                <wp:effectExtent l="0" t="0" r="0" b="1905"/>
                <wp:wrapNone/>
                <wp:docPr id="3" name="文本框 3"/>
                <wp:cNvGraphicFramePr/>
                <a:graphic xmlns:a="http://schemas.openxmlformats.org/drawingml/2006/main">
                  <a:graphicData uri="http://schemas.microsoft.com/office/word/2010/wordprocessingShape">
                    <wps:wsp>
                      <wps:cNvSpPr txBox="1"/>
                      <wps:spPr>
                        <a:xfrm>
                          <a:off x="0" y="0"/>
                          <a:ext cx="2533650"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861F49" w14:textId="1C13B520" w:rsidR="00307227" w:rsidRPr="00CE3020" w:rsidRDefault="00307227" w:rsidP="006530AA">
                            <w:pPr>
                              <w:ind w:right="88" w:firstLineChars="50" w:firstLine="120"/>
                              <w:jc w:val="right"/>
                              <w:rPr>
                                <w:rFonts w:cs="Times New Roman"/>
                                <w:b/>
                                <w:sz w:val="24"/>
                              </w:rPr>
                            </w:pPr>
                            <w:r>
                              <w:rPr>
                                <w:rFonts w:cs="Times New Roman" w:hint="eastAsia"/>
                                <w:b/>
                                <w:sz w:val="24"/>
                              </w:rPr>
                              <w:t>行业</w:t>
                            </w:r>
                            <w:r>
                              <w:rPr>
                                <w:rFonts w:cs="Times New Roman"/>
                                <w:b/>
                                <w:sz w:val="24"/>
                              </w:rPr>
                              <w:t>研究</w:t>
                            </w:r>
                            <w:r w:rsidRPr="00CE3020">
                              <w:rPr>
                                <w:rFonts w:cs="Times New Roman"/>
                                <w:b/>
                                <w:sz w:val="24"/>
                              </w:rPr>
                              <w:t xml:space="preserve"> | </w:t>
                            </w:r>
                            <w:r>
                              <w:rPr>
                                <w:rFonts w:cs="Times New Roman" w:hint="eastAsia"/>
                                <w:b/>
                                <w:sz w:val="24"/>
                              </w:rPr>
                              <w:t>内地</w:t>
                            </w:r>
                            <w:r>
                              <w:rPr>
                                <w:rFonts w:cs="Times New Roman"/>
                                <w:b/>
                                <w:sz w:val="24"/>
                              </w:rPr>
                              <w:t>房地产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CF7FC" id="_x0000_t202" coordsize="21600,21600" o:spt="202" path="m,l,21600r21600,l21600,xe">
                <v:stroke joinstyle="miter"/>
                <v:path gradientshapeok="t" o:connecttype="rect"/>
              </v:shapetype>
              <v:shape id="文本框 3" o:spid="_x0000_s1026" type="#_x0000_t202" style="position:absolute;left:0;text-align:left;margin-left:351.5pt;margin-top:8.9pt;width:199.5pt;height:26.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" fillcolor="white [3201]" stroked="f" strokeweight=".5pt">
                <v:textbox>
                  <w:txbxContent>
                    <w:p w14:paraId="7C861F49" w14:textId="1C13B520" w:rsidR="00307227" w:rsidRPr="00CE3020" w:rsidRDefault="00307227" w:rsidP="006530AA">
                      <w:pPr>
                        <w:ind w:right="88" w:firstLineChars="50" w:firstLine="120"/>
                        <w:jc w:val="right"/>
                        <w:rPr>
                          <w:rFonts w:cs="Times New Roman"/>
                          <w:b/>
                          <w:sz w:val="24"/>
                        </w:rPr>
                      </w:pPr>
                      <w:r>
                        <w:rPr>
                          <w:rFonts w:cs="Times New Roman" w:hint="eastAsia"/>
                          <w:b/>
                          <w:sz w:val="24"/>
                        </w:rPr>
                        <w:t>行业</w:t>
                      </w:r>
                      <w:r>
                        <w:rPr>
                          <w:rFonts w:cs="Times New Roman"/>
                          <w:b/>
                          <w:sz w:val="24"/>
                        </w:rPr>
                        <w:t>研究</w:t>
                      </w:r>
                      <w:r w:rsidRPr="00CE3020">
                        <w:rPr>
                          <w:rFonts w:cs="Times New Roman"/>
                          <w:b/>
                          <w:sz w:val="24"/>
                        </w:rPr>
                        <w:t xml:space="preserve"> | </w:t>
                      </w:r>
                      <w:r>
                        <w:rPr>
                          <w:rFonts w:cs="Times New Roman" w:hint="eastAsia"/>
                          <w:b/>
                          <w:sz w:val="24"/>
                        </w:rPr>
                        <w:t>内地</w:t>
                      </w:r>
                      <w:r>
                        <w:rPr>
                          <w:rFonts w:cs="Times New Roman"/>
                          <w:b/>
                          <w:sz w:val="24"/>
                        </w:rPr>
                        <w:t>房地产</w:t>
                      </w:r>
                    </w:p>
                  </w:txbxContent>
                </v:textbox>
                <w10:wrap anchorx="margin"/>
              </v:shape>
            </w:pict>
          </mc:Fallback>
        </mc:AlternateContent>
      </w:r>
      <w:r w:rsidR="009B63C2">
        <w:rPr>
          <w:rFonts w:cs="Times New Roman"/>
          <w:b/>
          <w:noProof/>
        </w:rPr>
        <w:drawing>
          <wp:anchor distT="0" distB="0" distL="114300" distR="114300" simplePos="0" relativeHeight="251679744" behindDoc="0" locked="0" layoutInCell="1" allowOverlap="1" wp14:anchorId="2DE24DA1" wp14:editId="1D0AD553">
            <wp:simplePos x="0" y="0"/>
            <wp:positionH relativeFrom="margin">
              <wp:align>left</wp:align>
            </wp:positionH>
            <wp:positionV relativeFrom="paragraph">
              <wp:posOffset>43180</wp:posOffset>
            </wp:positionV>
            <wp:extent cx="3786950" cy="628650"/>
            <wp:effectExtent l="0" t="0" r="4445" b="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WSI-LOGO_副本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6950" cy="628650"/>
                    </a:xfrm>
                    <a:prstGeom prst="rect">
                      <a:avLst/>
                    </a:prstGeom>
                  </pic:spPr>
                </pic:pic>
              </a:graphicData>
            </a:graphic>
          </wp:anchor>
        </w:drawing>
      </w:r>
      <w:r w:rsidR="00F6049F" w:rsidRPr="001F5B42">
        <w:rPr>
          <w:rFonts w:cs="Times New Roman"/>
          <w:b/>
          <w:noProof/>
        </w:rPr>
        <mc:AlternateContent>
          <mc:Choice Requires="wps">
            <w:drawing>
              <wp:anchor distT="0" distB="0" distL="114300" distR="114300" simplePos="0" relativeHeight="251660288" behindDoc="0" locked="0" layoutInCell="1" allowOverlap="1" wp14:anchorId="22D44FF0" wp14:editId="4782FC83">
                <wp:simplePos x="0" y="0"/>
                <wp:positionH relativeFrom="column">
                  <wp:posOffset>13335</wp:posOffset>
                </wp:positionH>
                <wp:positionV relativeFrom="paragraph">
                  <wp:posOffset>714375</wp:posOffset>
                </wp:positionV>
                <wp:extent cx="6878320" cy="0"/>
                <wp:effectExtent l="0" t="19050" r="17780" b="19050"/>
                <wp:wrapNone/>
                <wp:docPr id="2" name="直接连接符 2"/>
                <wp:cNvGraphicFramePr/>
                <a:graphic xmlns:a="http://schemas.openxmlformats.org/drawingml/2006/main">
                  <a:graphicData uri="http://schemas.microsoft.com/office/word/2010/wordprocessingShape">
                    <wps:wsp>
                      <wps:cNvCnPr/>
                      <wps:spPr>
                        <a:xfrm>
                          <a:off x="0" y="0"/>
                          <a:ext cx="6878320" cy="0"/>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8A4072"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05pt,56.25pt" to="542.6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" strokecolor="#7f7f7f [1612]" strokeweight="2.25pt"/>
            </w:pict>
          </mc:Fallback>
        </mc:AlternateContent>
      </w:r>
      <w:r w:rsidR="00CE3020" w:rsidRPr="001F5B42">
        <w:rPr>
          <w:rFonts w:cs="Times New Roman"/>
          <w:noProof/>
        </w:rPr>
        <mc:AlternateContent>
          <mc:Choice Requires="wps">
            <w:drawing>
              <wp:anchor distT="0" distB="0" distL="114300" distR="114300" simplePos="0" relativeHeight="251659264" behindDoc="0" locked="0" layoutInCell="1" allowOverlap="1" wp14:anchorId="3D73F02A" wp14:editId="23D13FBF">
                <wp:simplePos x="0" y="0"/>
                <wp:positionH relativeFrom="column">
                  <wp:posOffset>-6824</wp:posOffset>
                </wp:positionH>
                <wp:positionV relativeFrom="paragraph">
                  <wp:posOffset>0</wp:posOffset>
                </wp:positionV>
                <wp:extent cx="6878472" cy="0"/>
                <wp:effectExtent l="0" t="19050" r="17780" b="19050"/>
                <wp:wrapNone/>
                <wp:docPr id="1" name="直接连接符 1"/>
                <wp:cNvGraphicFramePr/>
                <a:graphic xmlns:a="http://schemas.openxmlformats.org/drawingml/2006/main">
                  <a:graphicData uri="http://schemas.microsoft.com/office/word/2010/wordprocessingShape">
                    <wps:wsp>
                      <wps:cNvCnPr/>
                      <wps:spPr>
                        <a:xfrm>
                          <a:off x="0" y="0"/>
                          <a:ext cx="6878472"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93B870"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55pt,0" to="541.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" strokecolor="red" strokeweight="2.25pt"/>
            </w:pict>
          </mc:Fallback>
        </mc:AlternateContent>
      </w:r>
    </w:p>
    <w:p w14:paraId="168FE7D2" w14:textId="6BDAE4A8" w:rsidR="00C000D9" w:rsidRPr="001F5B42" w:rsidRDefault="005D7D46" w:rsidP="002151E9">
      <w:pPr>
        <w:rPr>
          <w:rFonts w:cs="Times New Roman"/>
        </w:rPr>
      </w:pPr>
      <w:r w:rsidRPr="001F5B42">
        <w:rPr>
          <w:rFonts w:cs="Times New Roman"/>
          <w:b/>
          <w:noProof/>
        </w:rPr>
        <mc:AlternateContent>
          <mc:Choice Requires="wps">
            <w:drawing>
              <wp:anchor distT="0" distB="0" distL="114300" distR="114300" simplePos="0" relativeHeight="251671552" behindDoc="0" locked="0" layoutInCell="1" allowOverlap="1" wp14:anchorId="2218812C" wp14:editId="100534F2">
                <wp:simplePos x="0" y="0"/>
                <wp:positionH relativeFrom="column">
                  <wp:posOffset>5149850</wp:posOffset>
                </wp:positionH>
                <wp:positionV relativeFrom="paragraph">
                  <wp:posOffset>50800</wp:posOffset>
                </wp:positionV>
                <wp:extent cx="1788795" cy="279400"/>
                <wp:effectExtent l="0" t="0" r="0" b="6350"/>
                <wp:wrapNone/>
                <wp:docPr id="18" name="文本框 18"/>
                <wp:cNvGraphicFramePr/>
                <a:graphic xmlns:a="http://schemas.openxmlformats.org/drawingml/2006/main">
                  <a:graphicData uri="http://schemas.microsoft.com/office/word/2010/wordprocessingShape">
                    <wps:wsp>
                      <wps:cNvSpPr txBox="1"/>
                      <wps:spPr>
                        <a:xfrm>
                          <a:off x="0" y="0"/>
                          <a:ext cx="1788795"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1A5C63" w14:textId="73687765" w:rsidR="00307227" w:rsidRPr="00504219" w:rsidRDefault="00307227" w:rsidP="002A136F">
                            <w:pPr>
                              <w:pStyle w:val="a5"/>
                              <w:jc w:val="right"/>
                              <w:rPr>
                                <w:rFonts w:ascii="Times New Roman" w:hAnsi="Times New Roman" w:cs="Times New Roman"/>
                                <w:b/>
                                <w:sz w:val="22"/>
                              </w:rPr>
                            </w:pPr>
                            <w:r>
                              <w:rPr>
                                <w:rFonts w:ascii="Times New Roman" w:hAnsi="Times New Roman" w:cs="Times New Roman"/>
                                <w:b/>
                                <w:sz w:val="22"/>
                              </w:rPr>
                              <w:t>6-Apr-20</w:t>
                            </w:r>
                          </w:p>
                          <w:p w14:paraId="2E56FB23" w14:textId="77777777" w:rsidR="00307227" w:rsidRPr="00504219" w:rsidRDefault="00307227" w:rsidP="00504219">
                            <w:pPr>
                              <w:pStyle w:val="a5"/>
                              <w:jc w:val="right"/>
                              <w:rPr>
                                <w:rFonts w:ascii="Times New Roman" w:hAnsi="Times New Roman" w:cs="Times New Roman"/>
                                <w: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8812C" id="文本框 18" o:spid="_x0000_s1027" type="#_x0000_t202" style="position:absolute;left:0;text-align:left;margin-left:405.5pt;margin-top:4pt;width:140.85pt;height: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" filled="f" stroked="f" strokeweight=".5pt">
                <v:textbox>
                  <w:txbxContent>
                    <w:p w14:paraId="201A5C63" w14:textId="73687765" w:rsidR="00307227" w:rsidRPr="00504219" w:rsidRDefault="00307227" w:rsidP="002A136F">
                      <w:pPr>
                        <w:pStyle w:val="a5"/>
                        <w:jc w:val="right"/>
                        <w:rPr>
                          <w:rFonts w:ascii="Times New Roman" w:hAnsi="Times New Roman" w:cs="Times New Roman"/>
                          <w:b/>
                          <w:sz w:val="22"/>
                        </w:rPr>
                      </w:pPr>
                      <w:r>
                        <w:rPr>
                          <w:rFonts w:ascii="Times New Roman" w:hAnsi="Times New Roman" w:cs="Times New Roman"/>
                          <w:b/>
                          <w:sz w:val="22"/>
                        </w:rPr>
                        <w:t>6-Apr-20</w:t>
                      </w:r>
                    </w:p>
                    <w:p w14:paraId="2E56FB23" w14:textId="77777777" w:rsidR="00307227" w:rsidRPr="00504219" w:rsidRDefault="00307227" w:rsidP="00504219">
                      <w:pPr>
                        <w:pStyle w:val="a5"/>
                        <w:jc w:val="right"/>
                        <w:rPr>
                          <w:rFonts w:ascii="Times New Roman" w:hAnsi="Times New Roman" w:cs="Times New Roman"/>
                          <w:b/>
                          <w:sz w:val="22"/>
                        </w:rPr>
                      </w:pPr>
                    </w:p>
                  </w:txbxContent>
                </v:textbox>
              </v:shape>
            </w:pict>
          </mc:Fallback>
        </mc:AlternateContent>
      </w:r>
    </w:p>
    <w:p w14:paraId="29BD2D8B" w14:textId="1AE6E54E" w:rsidR="002151E9" w:rsidRPr="001F5B42" w:rsidRDefault="008907B5" w:rsidP="002151E9">
      <w:pPr>
        <w:rPr>
          <w:rFonts w:cs="Times New Roman"/>
        </w:rPr>
      </w:pPr>
      <w:r w:rsidRPr="001F5B42">
        <w:rPr>
          <w:rFonts w:cs="Times New Roman"/>
          <w:b/>
          <w:noProof/>
        </w:rPr>
        <mc:AlternateContent>
          <mc:Choice Requires="wps">
            <w:drawing>
              <wp:anchor distT="0" distB="0" distL="114300" distR="114300" simplePos="0" relativeHeight="251664384" behindDoc="0" locked="0" layoutInCell="1" allowOverlap="1" wp14:anchorId="56CB9CD0" wp14:editId="6DA7AF24">
                <wp:simplePos x="0" y="0"/>
                <wp:positionH relativeFrom="column">
                  <wp:posOffset>9525</wp:posOffset>
                </wp:positionH>
                <wp:positionV relativeFrom="paragraph">
                  <wp:posOffset>60325</wp:posOffset>
                </wp:positionV>
                <wp:extent cx="4229100" cy="482600"/>
                <wp:effectExtent l="0" t="0" r="0" b="0"/>
                <wp:wrapNone/>
                <wp:docPr id="7" name="文本框 7" title="Company name (Ticker)"/>
                <wp:cNvGraphicFramePr/>
                <a:graphic xmlns:a="http://schemas.openxmlformats.org/drawingml/2006/main">
                  <a:graphicData uri="http://schemas.microsoft.com/office/word/2010/wordprocessingShape">
                    <wps:wsp>
                      <wps:cNvSpPr txBox="1"/>
                      <wps:spPr>
                        <a:xfrm>
                          <a:off x="0" y="0"/>
                          <a:ext cx="4229100" cy="482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5292B" w14:textId="77777777" w:rsidR="00307227" w:rsidRPr="008E7059" w:rsidRDefault="00307227" w:rsidP="00EF5C8A">
                            <w:pPr>
                              <w:ind w:right="-151"/>
                              <w:rPr>
                                <w:rFonts w:cs="Times New Roman"/>
                                <w:b/>
                                <w:sz w:val="40"/>
                                <w:szCs w:val="40"/>
                              </w:rPr>
                            </w:pPr>
                            <w:r>
                              <w:rPr>
                                <w:rFonts w:cs="Times New Roman" w:hint="eastAsia"/>
                                <w:b/>
                                <w:sz w:val="40"/>
                                <w:szCs w:val="40"/>
                              </w:rPr>
                              <w:t>内地</w:t>
                            </w:r>
                            <w:proofErr w:type="gramStart"/>
                            <w:r>
                              <w:rPr>
                                <w:rFonts w:cs="Times New Roman" w:hint="eastAsia"/>
                                <w:b/>
                                <w:sz w:val="40"/>
                                <w:szCs w:val="40"/>
                              </w:rPr>
                              <w:t>房地产周度观察</w:t>
                            </w:r>
                            <w:proofErr w:type="gramEnd"/>
                          </w:p>
                          <w:p w14:paraId="16F784D6" w14:textId="028C3FB8" w:rsidR="00307227" w:rsidRPr="008E7059" w:rsidRDefault="00307227" w:rsidP="00F01CE4">
                            <w:pPr>
                              <w:ind w:right="-151"/>
                              <w:rPr>
                                <w:rFonts w:cs="Times New Roman"/>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B9CD0" id="文本框 7" o:spid="_x0000_s1028" type="#_x0000_t202" alt="标题: Company name (Ticker)" style="position:absolute;left:0;text-align:left;margin-left:.75pt;margin-top:4.75pt;width:333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" fillcolor="white [3201]" stroked="f" strokeweight=".5pt">
                <v:textbox>
                  <w:txbxContent>
                    <w:p w14:paraId="5975292B" w14:textId="77777777" w:rsidR="00307227" w:rsidRPr="008E7059" w:rsidRDefault="00307227" w:rsidP="00EF5C8A">
                      <w:pPr>
                        <w:ind w:right="-151"/>
                        <w:rPr>
                          <w:rFonts w:cs="Times New Roman"/>
                          <w:b/>
                          <w:sz w:val="40"/>
                          <w:szCs w:val="40"/>
                        </w:rPr>
                      </w:pPr>
                      <w:r>
                        <w:rPr>
                          <w:rFonts w:cs="Times New Roman" w:hint="eastAsia"/>
                          <w:b/>
                          <w:sz w:val="40"/>
                          <w:szCs w:val="40"/>
                        </w:rPr>
                        <w:t>内地</w:t>
                      </w:r>
                      <w:proofErr w:type="gramStart"/>
                      <w:r>
                        <w:rPr>
                          <w:rFonts w:cs="Times New Roman" w:hint="eastAsia"/>
                          <w:b/>
                          <w:sz w:val="40"/>
                          <w:szCs w:val="40"/>
                        </w:rPr>
                        <w:t>房地产周度观察</w:t>
                      </w:r>
                      <w:proofErr w:type="gramEnd"/>
                    </w:p>
                    <w:p w14:paraId="16F784D6" w14:textId="028C3FB8" w:rsidR="00307227" w:rsidRPr="008E7059" w:rsidRDefault="00307227" w:rsidP="00F01CE4">
                      <w:pPr>
                        <w:ind w:right="-151"/>
                        <w:rPr>
                          <w:rFonts w:cs="Times New Roman"/>
                          <w:b/>
                          <w:sz w:val="40"/>
                          <w:szCs w:val="40"/>
                        </w:rPr>
                      </w:pPr>
                    </w:p>
                  </w:txbxContent>
                </v:textbox>
              </v:shape>
            </w:pict>
          </mc:Fallback>
        </mc:AlternateContent>
      </w:r>
      <w:r w:rsidR="005360F5" w:rsidRPr="001F5B42">
        <w:rPr>
          <w:rFonts w:cs="Times New Roman"/>
          <w:b/>
          <w:noProof/>
        </w:rPr>
        <mc:AlternateContent>
          <mc:Choice Requires="wps">
            <w:drawing>
              <wp:anchor distT="0" distB="0" distL="114300" distR="114300" simplePos="0" relativeHeight="251662336" behindDoc="0" locked="0" layoutInCell="1" allowOverlap="1" wp14:anchorId="2D87369D" wp14:editId="5179A0ED">
                <wp:simplePos x="0" y="0"/>
                <wp:positionH relativeFrom="column">
                  <wp:posOffset>4813300</wp:posOffset>
                </wp:positionH>
                <wp:positionV relativeFrom="paragraph">
                  <wp:posOffset>52705</wp:posOffset>
                </wp:positionV>
                <wp:extent cx="25400" cy="7992000"/>
                <wp:effectExtent l="19050" t="19050" r="31750" b="28575"/>
                <wp:wrapNone/>
                <wp:docPr id="4" name="直接连接符 4"/>
                <wp:cNvGraphicFramePr/>
                <a:graphic xmlns:a="http://schemas.openxmlformats.org/drawingml/2006/main">
                  <a:graphicData uri="http://schemas.microsoft.com/office/word/2010/wordprocessingShape">
                    <wps:wsp>
                      <wps:cNvCnPr/>
                      <wps:spPr>
                        <a:xfrm>
                          <a:off x="0" y="0"/>
                          <a:ext cx="25400" cy="7992000"/>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DFF3C" id="直接连接符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pt,4.15pt" to="381pt,6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" strokecolor="#7f7f7f [1612]" strokeweight="2.25pt"/>
            </w:pict>
          </mc:Fallback>
        </mc:AlternateContent>
      </w:r>
      <w:r w:rsidR="00724C44" w:rsidRPr="001F5B42">
        <w:rPr>
          <w:rFonts w:cs="Times New Roman"/>
          <w:noProof/>
        </w:rPr>
        <mc:AlternateContent>
          <mc:Choice Requires="wps">
            <w:drawing>
              <wp:anchor distT="0" distB="0" distL="114300" distR="114300" simplePos="0" relativeHeight="251678720" behindDoc="0" locked="0" layoutInCell="1" allowOverlap="1" wp14:anchorId="3765234D" wp14:editId="26F7A107">
                <wp:simplePos x="0" y="0"/>
                <wp:positionH relativeFrom="column">
                  <wp:posOffset>4857750</wp:posOffset>
                </wp:positionH>
                <wp:positionV relativeFrom="paragraph">
                  <wp:posOffset>83820</wp:posOffset>
                </wp:positionV>
                <wp:extent cx="2159000" cy="62865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159000" cy="628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7316FE" w14:textId="16E34BDE" w:rsidR="00307227" w:rsidRPr="002C0EAD" w:rsidRDefault="00307227" w:rsidP="00724C44">
                            <w:pPr>
                              <w:pBdr>
                                <w:bottom w:val="single" w:sz="12" w:space="1" w:color="auto"/>
                              </w:pBdr>
                              <w:wordWrap w:val="0"/>
                              <w:spacing w:after="0"/>
                              <w:ind w:right="125"/>
                              <w:jc w:val="right"/>
                              <w:rPr>
                                <w:b/>
                                <w:color w:val="C00000"/>
                                <w:sz w:val="28"/>
                              </w:rPr>
                            </w:pPr>
                            <w:r>
                              <w:rPr>
                                <w:rFonts w:hint="eastAsia"/>
                                <w:b/>
                                <w:color w:val="C00000"/>
                                <w:sz w:val="28"/>
                              </w:rPr>
                              <w:t>强于大市</w:t>
                            </w:r>
                          </w:p>
                          <w:p w14:paraId="22460782" w14:textId="577A3D95" w:rsidR="00307227" w:rsidRPr="002C0EAD" w:rsidRDefault="00307227" w:rsidP="00724C44">
                            <w:pPr>
                              <w:pBdr>
                                <w:bottom w:val="single" w:sz="12" w:space="1" w:color="auto"/>
                              </w:pBdr>
                              <w:spacing w:after="0"/>
                              <w:ind w:right="125"/>
                              <w:jc w:val="right"/>
                              <w:rPr>
                                <w:sz w:val="22"/>
                              </w:rPr>
                            </w:pPr>
                            <w:r w:rsidRPr="002C0EAD">
                              <w:rPr>
                                <w:rFonts w:hint="eastAsia"/>
                                <w:sz w:val="22"/>
                              </w:rPr>
                              <w:t>(</w:t>
                            </w:r>
                            <w:r>
                              <w:rPr>
                                <w:rFonts w:hint="eastAsia"/>
                                <w:sz w:val="22"/>
                              </w:rPr>
                              <w:t>维持</w:t>
                            </w:r>
                            <w:r w:rsidRPr="002C0EAD">
                              <w:rPr>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5234D" id="文本框 12" o:spid="_x0000_s1029" type="#_x0000_t202" style="position:absolute;left:0;text-align:left;margin-left:382.5pt;margin-top:6.6pt;width:170pt;height: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" fillcolor="white [3201]" stroked="f" strokeweight=".5pt">
                <v:textbox>
                  <w:txbxContent>
                    <w:p w14:paraId="687316FE" w14:textId="16E34BDE" w:rsidR="00307227" w:rsidRPr="002C0EAD" w:rsidRDefault="00307227" w:rsidP="00724C44">
                      <w:pPr>
                        <w:pBdr>
                          <w:bottom w:val="single" w:sz="12" w:space="1" w:color="auto"/>
                        </w:pBdr>
                        <w:wordWrap w:val="0"/>
                        <w:spacing w:after="0"/>
                        <w:ind w:right="125"/>
                        <w:jc w:val="right"/>
                        <w:rPr>
                          <w:b/>
                          <w:color w:val="C00000"/>
                          <w:sz w:val="28"/>
                        </w:rPr>
                      </w:pPr>
                      <w:r>
                        <w:rPr>
                          <w:rFonts w:hint="eastAsia"/>
                          <w:b/>
                          <w:color w:val="C00000"/>
                          <w:sz w:val="28"/>
                        </w:rPr>
                        <w:t>强于大市</w:t>
                      </w:r>
                    </w:p>
                    <w:p w14:paraId="22460782" w14:textId="577A3D95" w:rsidR="00307227" w:rsidRPr="002C0EAD" w:rsidRDefault="00307227" w:rsidP="00724C44">
                      <w:pPr>
                        <w:pBdr>
                          <w:bottom w:val="single" w:sz="12" w:space="1" w:color="auto"/>
                        </w:pBdr>
                        <w:spacing w:after="0"/>
                        <w:ind w:right="125"/>
                        <w:jc w:val="right"/>
                        <w:rPr>
                          <w:sz w:val="22"/>
                        </w:rPr>
                      </w:pPr>
                      <w:r w:rsidRPr="002C0EAD">
                        <w:rPr>
                          <w:rFonts w:hint="eastAsia"/>
                          <w:sz w:val="22"/>
                        </w:rPr>
                        <w:t>(</w:t>
                      </w:r>
                      <w:r>
                        <w:rPr>
                          <w:rFonts w:hint="eastAsia"/>
                          <w:sz w:val="22"/>
                        </w:rPr>
                        <w:t>维持</w:t>
                      </w:r>
                      <w:r w:rsidRPr="002C0EAD">
                        <w:rPr>
                          <w:sz w:val="22"/>
                        </w:rPr>
                        <w:t>)</w:t>
                      </w:r>
                    </w:p>
                  </w:txbxContent>
                </v:textbox>
              </v:shape>
            </w:pict>
          </mc:Fallback>
        </mc:AlternateContent>
      </w:r>
    </w:p>
    <w:p w14:paraId="5989078F" w14:textId="55C5A6BA" w:rsidR="002151E9" w:rsidRPr="001F5B42" w:rsidRDefault="00A75EF0" w:rsidP="002151E9">
      <w:pPr>
        <w:rPr>
          <w:rFonts w:cs="Times New Roman"/>
        </w:rPr>
      </w:pPr>
      <w:r w:rsidRPr="001F5B42">
        <w:rPr>
          <w:rFonts w:cs="Times New Roman"/>
          <w:b/>
          <w:noProof/>
        </w:rPr>
        <mc:AlternateContent>
          <mc:Choice Requires="wps">
            <w:drawing>
              <wp:anchor distT="0" distB="0" distL="114300" distR="114300" simplePos="0" relativeHeight="251665408" behindDoc="0" locked="0" layoutInCell="1" allowOverlap="1" wp14:anchorId="15FC1665" wp14:editId="349BF853">
                <wp:simplePos x="0" y="0"/>
                <wp:positionH relativeFrom="column">
                  <wp:posOffset>18415</wp:posOffset>
                </wp:positionH>
                <wp:positionV relativeFrom="paragraph">
                  <wp:posOffset>176831</wp:posOffset>
                </wp:positionV>
                <wp:extent cx="4724400" cy="4445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4724400" cy="444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FB5408" w14:textId="316B4921" w:rsidR="00307227" w:rsidRPr="00224825" w:rsidRDefault="00307227" w:rsidP="00666ED8">
                            <w:pPr>
                              <w:pStyle w:val="a5"/>
                              <w:rPr>
                                <w:rStyle w:val="ab"/>
                                <w:rFonts w:ascii="Times New Roman" w:eastAsia="楷体" w:hAnsi="Times New Roman" w:cs="Times New Roman"/>
                                <w:bCs w:val="0"/>
                                <w:sz w:val="32"/>
                                <w:lang w:eastAsia="zh-CN"/>
                              </w:rPr>
                            </w:pPr>
                            <w:r w:rsidRPr="002A373B">
                              <w:rPr>
                                <w:rStyle w:val="ab"/>
                                <w:rFonts w:ascii="Times New Roman" w:eastAsia="楷体" w:hAnsi="Times New Roman" w:cs="Times New Roman" w:hint="eastAsia"/>
                                <w:bCs w:val="0"/>
                                <w:sz w:val="32"/>
                                <w:lang w:eastAsia="zh-CN"/>
                              </w:rPr>
                              <w:t>老旧小区改造政策及空间解析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C1665" id="文本框 8" o:spid="_x0000_s1030" type="#_x0000_t202" style="position:absolute;left:0;text-align:left;margin-left:1.45pt;margin-top:13.9pt;width:372pt;height: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" fillcolor="white [3201]" stroked="f" strokeweight=".5pt">
                <v:textbox>
                  <w:txbxContent>
                    <w:p w14:paraId="0CFB5408" w14:textId="316B4921" w:rsidR="00307227" w:rsidRPr="00224825" w:rsidRDefault="00307227" w:rsidP="00666ED8">
                      <w:pPr>
                        <w:pStyle w:val="a5"/>
                        <w:rPr>
                          <w:rStyle w:val="ab"/>
                          <w:rFonts w:ascii="Times New Roman" w:eastAsia="楷体" w:hAnsi="Times New Roman" w:cs="Times New Roman"/>
                          <w:bCs w:val="0"/>
                          <w:sz w:val="32"/>
                          <w:lang w:eastAsia="zh-CN"/>
                        </w:rPr>
                      </w:pPr>
                      <w:r w:rsidRPr="002A373B">
                        <w:rPr>
                          <w:rStyle w:val="ab"/>
                          <w:rFonts w:ascii="Times New Roman" w:eastAsia="楷体" w:hAnsi="Times New Roman" w:cs="Times New Roman" w:hint="eastAsia"/>
                          <w:bCs w:val="0"/>
                          <w:sz w:val="32"/>
                          <w:lang w:eastAsia="zh-CN"/>
                        </w:rPr>
                        <w:t>老旧小区改造政策及空间解析</w:t>
                      </w:r>
                    </w:p>
                  </w:txbxContent>
                </v:textbox>
              </v:shape>
            </w:pict>
          </mc:Fallback>
        </mc:AlternateContent>
      </w:r>
    </w:p>
    <w:p w14:paraId="78F3DF86" w14:textId="30EED0BD" w:rsidR="002151E9" w:rsidRPr="001F5B42" w:rsidRDefault="0035223F" w:rsidP="002151E9">
      <w:pPr>
        <w:rPr>
          <w:rFonts w:cs="Times New Roman"/>
        </w:rPr>
      </w:pPr>
      <w:r w:rsidRPr="001F5B42">
        <w:rPr>
          <w:rFonts w:cs="Times New Roman"/>
          <w:b/>
          <w:noProof/>
        </w:rPr>
        <mc:AlternateContent>
          <mc:Choice Requires="wps">
            <w:drawing>
              <wp:anchor distT="0" distB="0" distL="114300" distR="114300" simplePos="0" relativeHeight="251672576" behindDoc="0" locked="0" layoutInCell="1" allowOverlap="1" wp14:anchorId="606B5C5F" wp14:editId="1AD7D428">
                <wp:simplePos x="0" y="0"/>
                <wp:positionH relativeFrom="column">
                  <wp:posOffset>4838700</wp:posOffset>
                </wp:positionH>
                <wp:positionV relativeFrom="paragraph">
                  <wp:posOffset>111760</wp:posOffset>
                </wp:positionV>
                <wp:extent cx="2121535" cy="1327150"/>
                <wp:effectExtent l="0" t="0" r="0" b="6350"/>
                <wp:wrapNone/>
                <wp:docPr id="26" name="文本框 26"/>
                <wp:cNvGraphicFramePr/>
                <a:graphic xmlns:a="http://schemas.openxmlformats.org/drawingml/2006/main">
                  <a:graphicData uri="http://schemas.microsoft.com/office/word/2010/wordprocessingShape">
                    <wps:wsp>
                      <wps:cNvSpPr txBox="1"/>
                      <wps:spPr>
                        <a:xfrm>
                          <a:off x="0" y="0"/>
                          <a:ext cx="2121535" cy="1327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2AF8FB" w14:textId="77777777" w:rsidR="00307227" w:rsidRDefault="00307227" w:rsidP="008B5F60">
                            <w:pPr>
                              <w:ind w:right="0"/>
                              <w:contextualSpacing/>
                              <w:jc w:val="right"/>
                              <w:rPr>
                                <w:b/>
                                <w:sz w:val="20"/>
                              </w:rPr>
                            </w:pPr>
                            <w:proofErr w:type="gramStart"/>
                            <w:r>
                              <w:rPr>
                                <w:b/>
                                <w:sz w:val="18"/>
                                <w:szCs w:val="18"/>
                              </w:rPr>
                              <w:t>微信公众号</w:t>
                            </w:r>
                            <w:proofErr w:type="gramEnd"/>
                          </w:p>
                          <w:p w14:paraId="0E9EA5A8" w14:textId="14DCF22E" w:rsidR="00307227" w:rsidRDefault="00307227" w:rsidP="008B5F60">
                            <w:pPr>
                              <w:ind w:right="0"/>
                              <w:jc w:val="right"/>
                            </w:pPr>
                            <w:r>
                              <w:rPr>
                                <w:noProof/>
                              </w:rPr>
                              <w:drawing>
                                <wp:inline distT="0" distB="0" distL="0" distR="0" wp14:anchorId="7B439298" wp14:editId="6FD5BA49">
                                  <wp:extent cx="1116957" cy="1116957"/>
                                  <wp:effectExtent l="0" t="0" r="762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公众号二维码.jpg"/>
                                          <pic:cNvPicPr/>
                                        </pic:nvPicPr>
                                        <pic:blipFill>
                                          <a:blip r:embed="rId9">
                                            <a:extLst>
                                              <a:ext uri="{28A0092B-C50C-407E-A947-70E740481C1C}">
                                                <a14:useLocalDpi xmlns:a14="http://schemas.microsoft.com/office/drawing/2010/main" val="0"/>
                                              </a:ext>
                                            </a:extLst>
                                          </a:blip>
                                          <a:stretch>
                                            <a:fillRect/>
                                          </a:stretch>
                                        </pic:blipFill>
                                        <pic:spPr>
                                          <a:xfrm>
                                            <a:off x="0" y="0"/>
                                            <a:ext cx="1137951" cy="113795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B5C5F" id="文本框 26" o:spid="_x0000_s1031" type="#_x0000_t202" style="position:absolute;left:0;text-align:left;margin-left:381pt;margin-top:8.8pt;width:167.05pt;height:10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" fillcolor="white [3201]" stroked="f" strokeweight=".5pt">
                <v:textbox>
                  <w:txbxContent>
                    <w:p w14:paraId="5F2AF8FB" w14:textId="77777777" w:rsidR="00307227" w:rsidRDefault="00307227" w:rsidP="008B5F60">
                      <w:pPr>
                        <w:ind w:right="0"/>
                        <w:contextualSpacing/>
                        <w:jc w:val="right"/>
                        <w:rPr>
                          <w:b/>
                          <w:sz w:val="20"/>
                        </w:rPr>
                      </w:pPr>
                      <w:proofErr w:type="gramStart"/>
                      <w:r>
                        <w:rPr>
                          <w:b/>
                          <w:sz w:val="18"/>
                          <w:szCs w:val="18"/>
                        </w:rPr>
                        <w:t>微信公众号</w:t>
                      </w:r>
                      <w:proofErr w:type="gramEnd"/>
                    </w:p>
                    <w:p w14:paraId="0E9EA5A8" w14:textId="14DCF22E" w:rsidR="00307227" w:rsidRDefault="00307227" w:rsidP="008B5F60">
                      <w:pPr>
                        <w:ind w:right="0"/>
                        <w:jc w:val="right"/>
                      </w:pPr>
                      <w:r>
                        <w:rPr>
                          <w:noProof/>
                        </w:rPr>
                        <w:drawing>
                          <wp:inline distT="0" distB="0" distL="0" distR="0" wp14:anchorId="7B439298" wp14:editId="6FD5BA49">
                            <wp:extent cx="1116957" cy="1116957"/>
                            <wp:effectExtent l="0" t="0" r="762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公众号二维码.jpg"/>
                                    <pic:cNvPicPr/>
                                  </pic:nvPicPr>
                                  <pic:blipFill>
                                    <a:blip r:embed="rId10">
                                      <a:extLst>
                                        <a:ext uri="{28A0092B-C50C-407E-A947-70E740481C1C}">
                                          <a14:useLocalDpi xmlns:a14="http://schemas.microsoft.com/office/drawing/2010/main" val="0"/>
                                        </a:ext>
                                      </a:extLst>
                                    </a:blip>
                                    <a:stretch>
                                      <a:fillRect/>
                                    </a:stretch>
                                  </pic:blipFill>
                                  <pic:spPr>
                                    <a:xfrm>
                                      <a:off x="0" y="0"/>
                                      <a:ext cx="1137951" cy="1137951"/>
                                    </a:xfrm>
                                    <a:prstGeom prst="rect">
                                      <a:avLst/>
                                    </a:prstGeom>
                                  </pic:spPr>
                                </pic:pic>
                              </a:graphicData>
                            </a:graphic>
                          </wp:inline>
                        </w:drawing>
                      </w:r>
                    </w:p>
                  </w:txbxContent>
                </v:textbox>
              </v:shape>
            </w:pict>
          </mc:Fallback>
        </mc:AlternateContent>
      </w:r>
    </w:p>
    <w:p w14:paraId="3ED30B12" w14:textId="54CAADAA" w:rsidR="002151E9" w:rsidRPr="001F5B42" w:rsidRDefault="00615EEA" w:rsidP="002151E9">
      <w:pPr>
        <w:rPr>
          <w:rFonts w:cs="Times New Roman"/>
        </w:rPr>
      </w:pPr>
      <w:r w:rsidRPr="001F5B42">
        <w:rPr>
          <w:rFonts w:cs="Times New Roman"/>
          <w:b/>
          <w:noProof/>
        </w:rPr>
        <mc:AlternateContent>
          <mc:Choice Requires="wps">
            <w:drawing>
              <wp:anchor distT="0" distB="0" distL="114300" distR="114300" simplePos="0" relativeHeight="251666432" behindDoc="0" locked="0" layoutInCell="1" allowOverlap="1" wp14:anchorId="5F72A38A" wp14:editId="2EECA4A1">
                <wp:simplePos x="0" y="0"/>
                <wp:positionH relativeFrom="column">
                  <wp:posOffset>12032</wp:posOffset>
                </wp:positionH>
                <wp:positionV relativeFrom="paragraph">
                  <wp:posOffset>26737</wp:posOffset>
                </wp:positionV>
                <wp:extent cx="4743450" cy="7070457"/>
                <wp:effectExtent l="0" t="0" r="0" b="0"/>
                <wp:wrapNone/>
                <wp:docPr id="9" name="文本框 9"/>
                <wp:cNvGraphicFramePr/>
                <a:graphic xmlns:a="http://schemas.openxmlformats.org/drawingml/2006/main">
                  <a:graphicData uri="http://schemas.microsoft.com/office/word/2010/wordprocessingShape">
                    <wps:wsp>
                      <wps:cNvSpPr txBox="1"/>
                      <wps:spPr>
                        <a:xfrm>
                          <a:off x="0" y="0"/>
                          <a:ext cx="4743450" cy="707045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8F1E8A" w14:textId="4EF112A7" w:rsidR="00307227" w:rsidRDefault="00307227" w:rsidP="00290882">
                            <w:pPr>
                              <w:pStyle w:val="a5"/>
                              <w:spacing w:after="120"/>
                              <w:jc w:val="both"/>
                              <w:rPr>
                                <w:rFonts w:ascii="Times New Roman" w:eastAsia="楷体" w:hAnsi="Times New Roman" w:cs="Aharoni"/>
                                <w:b/>
                                <w:i/>
                                <w:color w:val="FF0000"/>
                                <w:sz w:val="21"/>
                                <w:szCs w:val="21"/>
                                <w:lang w:eastAsia="zh-CN"/>
                              </w:rPr>
                            </w:pPr>
                            <w:r>
                              <w:rPr>
                                <w:rFonts w:ascii="Times New Roman" w:eastAsia="楷体" w:hAnsi="Times New Roman" w:cs="Aharoni" w:hint="eastAsia"/>
                                <w:b/>
                                <w:i/>
                                <w:color w:val="FF0000"/>
                                <w:sz w:val="21"/>
                                <w:szCs w:val="21"/>
                                <w:lang w:eastAsia="zh-CN"/>
                              </w:rPr>
                              <w:t>事件评论</w:t>
                            </w:r>
                            <w:r w:rsidRPr="004C0E84">
                              <w:rPr>
                                <w:rFonts w:ascii="Times New Roman" w:eastAsia="楷体" w:hAnsi="Times New Roman" w:cs="Aharoni" w:hint="eastAsia"/>
                                <w:b/>
                                <w:i/>
                                <w:color w:val="FF0000"/>
                                <w:sz w:val="21"/>
                                <w:szCs w:val="21"/>
                                <w:lang w:eastAsia="zh-CN"/>
                              </w:rPr>
                              <w:t>：</w:t>
                            </w:r>
                          </w:p>
                          <w:p w14:paraId="17B612EF" w14:textId="41DC8896" w:rsidR="00307227" w:rsidRDefault="00307227" w:rsidP="00290882">
                            <w:pPr>
                              <w:pStyle w:val="a5"/>
                              <w:spacing w:after="120"/>
                              <w:jc w:val="both"/>
                              <w:rPr>
                                <w:rFonts w:ascii="Times New Roman" w:eastAsia="楷体" w:hAnsi="Times New Roman" w:cs="Aharoni"/>
                                <w:b/>
                                <w:iCs/>
                                <w:sz w:val="21"/>
                                <w:szCs w:val="21"/>
                                <w:lang w:eastAsia="zh-CN"/>
                              </w:rPr>
                            </w:pPr>
                            <w:r>
                              <w:rPr>
                                <w:rFonts w:ascii="Times New Roman" w:eastAsia="楷体" w:hAnsi="Times New Roman" w:cs="Aharoni" w:hint="eastAsia"/>
                                <w:b/>
                                <w:iCs/>
                                <w:sz w:val="21"/>
                                <w:szCs w:val="21"/>
                                <w:lang w:eastAsia="zh-CN"/>
                              </w:rPr>
                              <w:t>老旧小区改造市场空间较大，推算截至</w:t>
                            </w:r>
                            <w:r>
                              <w:rPr>
                                <w:rFonts w:ascii="Times New Roman" w:eastAsia="楷体" w:hAnsi="Times New Roman" w:cs="Aharoni" w:hint="eastAsia"/>
                                <w:b/>
                                <w:iCs/>
                                <w:sz w:val="21"/>
                                <w:szCs w:val="21"/>
                                <w:lang w:eastAsia="zh-CN"/>
                              </w:rPr>
                              <w:t>2</w:t>
                            </w:r>
                            <w:r>
                              <w:rPr>
                                <w:rFonts w:ascii="Times New Roman" w:eastAsia="楷体" w:hAnsi="Times New Roman" w:cs="Aharoni"/>
                                <w:b/>
                                <w:iCs/>
                                <w:sz w:val="21"/>
                                <w:szCs w:val="21"/>
                                <w:lang w:eastAsia="zh-CN"/>
                              </w:rPr>
                              <w:t>019</w:t>
                            </w:r>
                            <w:r>
                              <w:rPr>
                                <w:rFonts w:ascii="Times New Roman" w:eastAsia="楷体" w:hAnsi="Times New Roman" w:cs="Aharoni"/>
                                <w:b/>
                                <w:iCs/>
                                <w:sz w:val="21"/>
                                <w:szCs w:val="21"/>
                                <w:lang w:eastAsia="zh-CN"/>
                              </w:rPr>
                              <w:t>年末</w:t>
                            </w:r>
                            <w:r>
                              <w:rPr>
                                <w:rFonts w:ascii="Times New Roman" w:eastAsia="楷体" w:hAnsi="Times New Roman" w:cs="Aharoni" w:hint="eastAsia"/>
                                <w:b/>
                                <w:iCs/>
                                <w:sz w:val="21"/>
                                <w:szCs w:val="21"/>
                                <w:lang w:eastAsia="zh-CN"/>
                              </w:rPr>
                              <w:t>，</w:t>
                            </w:r>
                            <w:r>
                              <w:rPr>
                                <w:rFonts w:ascii="Times New Roman" w:eastAsia="楷体" w:hAnsi="Times New Roman" w:cs="Aharoni"/>
                                <w:b/>
                                <w:iCs/>
                                <w:sz w:val="21"/>
                                <w:szCs w:val="21"/>
                                <w:lang w:eastAsia="zh-CN"/>
                              </w:rPr>
                              <w:t>老旧小区未来</w:t>
                            </w:r>
                            <w:r>
                              <w:rPr>
                                <w:rFonts w:ascii="Times New Roman" w:eastAsia="楷体" w:hAnsi="Times New Roman" w:cs="Aharoni" w:hint="eastAsia"/>
                                <w:b/>
                                <w:iCs/>
                                <w:sz w:val="21"/>
                                <w:szCs w:val="21"/>
                                <w:lang w:eastAsia="zh-CN"/>
                              </w:rPr>
                              <w:t>进行改造的总投资额大于</w:t>
                            </w:r>
                            <w:r>
                              <w:rPr>
                                <w:rFonts w:ascii="Times New Roman" w:eastAsia="楷体" w:hAnsi="Times New Roman" w:cs="Aharoni"/>
                                <w:b/>
                                <w:iCs/>
                                <w:sz w:val="21"/>
                                <w:szCs w:val="21"/>
                                <w:lang w:eastAsia="zh-CN"/>
                              </w:rPr>
                              <w:t>6</w:t>
                            </w:r>
                            <w:proofErr w:type="gramStart"/>
                            <w:r>
                              <w:rPr>
                                <w:rFonts w:ascii="Times New Roman" w:eastAsia="楷体" w:hAnsi="Times New Roman" w:cs="Aharoni"/>
                                <w:b/>
                                <w:iCs/>
                                <w:sz w:val="21"/>
                                <w:szCs w:val="21"/>
                                <w:lang w:eastAsia="zh-CN"/>
                              </w:rPr>
                              <w:t>万亿</w:t>
                            </w:r>
                            <w:proofErr w:type="gramEnd"/>
                            <w:r>
                              <w:rPr>
                                <w:rFonts w:ascii="Times New Roman" w:eastAsia="楷体" w:hAnsi="Times New Roman" w:cs="Aharoni"/>
                                <w:b/>
                                <w:iCs/>
                                <w:sz w:val="21"/>
                                <w:szCs w:val="21"/>
                                <w:lang w:eastAsia="zh-CN"/>
                              </w:rPr>
                              <w:t>元</w:t>
                            </w:r>
                            <w:r w:rsidRPr="002F253A">
                              <w:rPr>
                                <w:rFonts w:ascii="Times New Roman" w:eastAsia="楷体" w:hAnsi="Times New Roman" w:cs="Aharoni" w:hint="eastAsia"/>
                                <w:b/>
                                <w:iCs/>
                                <w:sz w:val="21"/>
                                <w:szCs w:val="21"/>
                                <w:lang w:eastAsia="zh-CN"/>
                              </w:rPr>
                              <w:t>。</w:t>
                            </w:r>
                            <w:r w:rsidRPr="00615EEA">
                              <w:rPr>
                                <w:rFonts w:ascii="Times New Roman" w:eastAsia="楷体" w:hAnsi="Times New Roman" w:cs="Aharoni" w:hint="eastAsia"/>
                                <w:bCs/>
                                <w:iCs/>
                                <w:sz w:val="21"/>
                                <w:szCs w:val="21"/>
                                <w:lang w:eastAsia="zh-CN"/>
                              </w:rPr>
                              <w:t>老旧小区改造</w:t>
                            </w:r>
                            <w:r>
                              <w:rPr>
                                <w:rFonts w:ascii="Times New Roman" w:eastAsia="楷体" w:hAnsi="Times New Roman" w:cs="Aharoni" w:hint="eastAsia"/>
                                <w:bCs/>
                                <w:iCs/>
                                <w:sz w:val="21"/>
                                <w:szCs w:val="21"/>
                                <w:lang w:eastAsia="zh-CN"/>
                              </w:rPr>
                              <w:t>指对</w:t>
                            </w:r>
                            <w:r>
                              <w:rPr>
                                <w:rFonts w:ascii="Times New Roman" w:eastAsia="楷体" w:hAnsi="Times New Roman" w:cs="Aharoni"/>
                                <w:bCs/>
                                <w:iCs/>
                                <w:sz w:val="21"/>
                                <w:szCs w:val="21"/>
                                <w:lang w:eastAsia="zh-CN"/>
                              </w:rPr>
                              <w:t>建成于</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000</w:t>
                            </w:r>
                            <w:r>
                              <w:rPr>
                                <w:rFonts w:ascii="Times New Roman" w:eastAsia="楷体" w:hAnsi="Times New Roman" w:cs="Aharoni"/>
                                <w:bCs/>
                                <w:iCs/>
                                <w:sz w:val="21"/>
                                <w:szCs w:val="21"/>
                                <w:lang w:eastAsia="zh-CN"/>
                              </w:rPr>
                              <w:t>年</w:t>
                            </w:r>
                            <w:r>
                              <w:rPr>
                                <w:rFonts w:ascii="Times New Roman" w:eastAsia="楷体" w:hAnsi="Times New Roman" w:cs="Aharoni" w:hint="eastAsia"/>
                                <w:bCs/>
                                <w:iCs/>
                                <w:sz w:val="21"/>
                                <w:szCs w:val="21"/>
                                <w:lang w:eastAsia="zh-CN"/>
                              </w:rPr>
                              <w:t>以前的缺乏配套设施的住宅小区进行改造，包含</w:t>
                            </w:r>
                            <w:proofErr w:type="gramStart"/>
                            <w:r>
                              <w:rPr>
                                <w:rFonts w:ascii="Times New Roman" w:eastAsia="楷体" w:hAnsi="Times New Roman" w:cs="Aharoni" w:hint="eastAsia"/>
                                <w:bCs/>
                                <w:iCs/>
                                <w:sz w:val="21"/>
                                <w:szCs w:val="21"/>
                                <w:lang w:eastAsia="zh-CN"/>
                              </w:rPr>
                              <w:t>更新</w:t>
                            </w:r>
                            <w:r w:rsidRPr="00615EEA">
                              <w:rPr>
                                <w:rFonts w:ascii="Times New Roman" w:eastAsia="楷体" w:hAnsi="Times New Roman" w:cs="Aharoni" w:hint="eastAsia"/>
                                <w:bCs/>
                                <w:iCs/>
                                <w:sz w:val="21"/>
                                <w:szCs w:val="21"/>
                                <w:lang w:eastAsia="zh-CN"/>
                              </w:rPr>
                              <w:t>水</w:t>
                            </w:r>
                            <w:proofErr w:type="gramEnd"/>
                            <w:r w:rsidRPr="00615EEA">
                              <w:rPr>
                                <w:rFonts w:ascii="Times New Roman" w:eastAsia="楷体" w:hAnsi="Times New Roman" w:cs="Aharoni" w:hint="eastAsia"/>
                                <w:bCs/>
                                <w:iCs/>
                                <w:sz w:val="21"/>
                                <w:szCs w:val="21"/>
                                <w:lang w:eastAsia="zh-CN"/>
                              </w:rPr>
                              <w:t>电路气等配套设施，支持加装电梯，健全生活服务设施</w:t>
                            </w:r>
                            <w:r>
                              <w:rPr>
                                <w:rFonts w:ascii="Times New Roman" w:eastAsia="楷体" w:hAnsi="Times New Roman" w:cs="Aharoni" w:hint="eastAsia"/>
                                <w:bCs/>
                                <w:iCs/>
                                <w:sz w:val="21"/>
                                <w:szCs w:val="21"/>
                                <w:lang w:eastAsia="zh-CN"/>
                              </w:rPr>
                              <w:t>等。</w:t>
                            </w:r>
                            <w:r w:rsidRPr="002F253A">
                              <w:rPr>
                                <w:rFonts w:ascii="Times New Roman" w:eastAsia="楷体" w:hAnsi="Times New Roman" w:cs="Aharoni" w:hint="eastAsia"/>
                                <w:bCs/>
                                <w:iCs/>
                                <w:sz w:val="21"/>
                                <w:szCs w:val="21"/>
                                <w:lang w:eastAsia="zh-CN"/>
                              </w:rPr>
                              <w:t>根据第六次人口普查</w:t>
                            </w:r>
                            <w:r>
                              <w:rPr>
                                <w:rFonts w:ascii="Times New Roman" w:eastAsia="楷体" w:hAnsi="Times New Roman" w:cs="Aharoni" w:hint="eastAsia"/>
                                <w:bCs/>
                                <w:iCs/>
                                <w:sz w:val="21"/>
                                <w:szCs w:val="21"/>
                                <w:lang w:eastAsia="zh-CN"/>
                              </w:rPr>
                              <w:t>对</w:t>
                            </w:r>
                            <w:r w:rsidRPr="002F253A">
                              <w:rPr>
                                <w:rFonts w:ascii="Times New Roman" w:eastAsia="楷体" w:hAnsi="Times New Roman" w:cs="Aharoni" w:hint="eastAsia"/>
                                <w:bCs/>
                                <w:iCs/>
                                <w:sz w:val="21"/>
                                <w:szCs w:val="21"/>
                                <w:lang w:eastAsia="zh-CN"/>
                              </w:rPr>
                              <w:t>各地区按住房建成时间分的家庭户住房状况</w:t>
                            </w:r>
                            <w:r>
                              <w:rPr>
                                <w:rFonts w:ascii="Times New Roman" w:eastAsia="楷体" w:hAnsi="Times New Roman" w:cs="Aharoni" w:hint="eastAsia"/>
                                <w:bCs/>
                                <w:iCs/>
                                <w:sz w:val="21"/>
                                <w:szCs w:val="21"/>
                                <w:lang w:eastAsia="zh-CN"/>
                              </w:rPr>
                              <w:t>进行的抽样统计，我们测算</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010</w:t>
                            </w:r>
                            <w:r>
                              <w:rPr>
                                <w:rFonts w:ascii="Times New Roman" w:eastAsia="楷体" w:hAnsi="Times New Roman" w:cs="Aharoni"/>
                                <w:bCs/>
                                <w:iCs/>
                                <w:sz w:val="21"/>
                                <w:szCs w:val="21"/>
                                <w:lang w:eastAsia="zh-CN"/>
                              </w:rPr>
                              <w:t>年年末</w:t>
                            </w:r>
                            <w:r>
                              <w:rPr>
                                <w:rFonts w:ascii="Times New Roman" w:eastAsia="楷体" w:hAnsi="Times New Roman" w:cs="Aharoni" w:hint="eastAsia"/>
                                <w:bCs/>
                                <w:iCs/>
                                <w:sz w:val="21"/>
                                <w:szCs w:val="21"/>
                                <w:lang w:eastAsia="zh-CN"/>
                              </w:rPr>
                              <w:t>，</w:t>
                            </w:r>
                            <w:r w:rsidRPr="002F253A">
                              <w:rPr>
                                <w:rFonts w:ascii="Times New Roman" w:eastAsia="楷体" w:hAnsi="Times New Roman" w:cs="Aharoni" w:hint="eastAsia"/>
                                <w:bCs/>
                                <w:iCs/>
                                <w:sz w:val="21"/>
                                <w:szCs w:val="21"/>
                                <w:lang w:eastAsia="zh-CN"/>
                              </w:rPr>
                              <w:t>2000</w:t>
                            </w:r>
                            <w:r w:rsidRPr="002F253A">
                              <w:rPr>
                                <w:rFonts w:ascii="Times New Roman" w:eastAsia="楷体" w:hAnsi="Times New Roman" w:cs="Aharoni" w:hint="eastAsia"/>
                                <w:bCs/>
                                <w:iCs/>
                                <w:sz w:val="21"/>
                                <w:szCs w:val="21"/>
                                <w:lang w:eastAsia="zh-CN"/>
                              </w:rPr>
                              <w:t>年前建成的城镇住房面积约</w:t>
                            </w:r>
                            <w:r w:rsidRPr="002F253A">
                              <w:rPr>
                                <w:rFonts w:ascii="Times New Roman" w:eastAsia="楷体" w:hAnsi="Times New Roman" w:cs="Aharoni" w:hint="eastAsia"/>
                                <w:bCs/>
                                <w:iCs/>
                                <w:sz w:val="21"/>
                                <w:szCs w:val="21"/>
                                <w:lang w:eastAsia="zh-CN"/>
                              </w:rPr>
                              <w:t>118.8</w:t>
                            </w:r>
                            <w:r w:rsidRPr="002F253A">
                              <w:rPr>
                                <w:rFonts w:ascii="Times New Roman" w:eastAsia="楷体" w:hAnsi="Times New Roman" w:cs="Aharoni" w:hint="eastAsia"/>
                                <w:bCs/>
                                <w:iCs/>
                                <w:sz w:val="21"/>
                                <w:szCs w:val="21"/>
                                <w:lang w:eastAsia="zh-CN"/>
                              </w:rPr>
                              <w:t>亿平方米。</w:t>
                            </w:r>
                            <w:r>
                              <w:rPr>
                                <w:rFonts w:ascii="Times New Roman" w:eastAsia="楷体" w:hAnsi="Times New Roman" w:cs="Aharoni" w:hint="eastAsia"/>
                                <w:bCs/>
                                <w:iCs/>
                                <w:sz w:val="21"/>
                                <w:szCs w:val="21"/>
                                <w:lang w:eastAsia="zh-CN"/>
                              </w:rPr>
                              <w:t>考虑到老旧住宅的拆除，</w:t>
                            </w:r>
                            <w:r w:rsidRPr="002F253A">
                              <w:rPr>
                                <w:rFonts w:ascii="Times New Roman" w:eastAsia="楷体" w:hAnsi="Times New Roman" w:cs="Aharoni" w:hint="eastAsia"/>
                                <w:bCs/>
                                <w:iCs/>
                                <w:sz w:val="21"/>
                                <w:szCs w:val="21"/>
                                <w:lang w:eastAsia="zh-CN"/>
                              </w:rPr>
                              <w:t>我们测算</w:t>
                            </w:r>
                            <w:r w:rsidRPr="002F253A">
                              <w:rPr>
                                <w:rFonts w:ascii="Times New Roman" w:eastAsia="楷体" w:hAnsi="Times New Roman" w:cs="Aharoni" w:hint="eastAsia"/>
                                <w:bCs/>
                                <w:iCs/>
                                <w:sz w:val="21"/>
                                <w:szCs w:val="21"/>
                                <w:lang w:eastAsia="zh-CN"/>
                              </w:rPr>
                              <w:t>2019</w:t>
                            </w:r>
                            <w:r w:rsidRPr="002F253A">
                              <w:rPr>
                                <w:rFonts w:ascii="Times New Roman" w:eastAsia="楷体" w:hAnsi="Times New Roman" w:cs="Aharoni" w:hint="eastAsia"/>
                                <w:bCs/>
                                <w:iCs/>
                                <w:sz w:val="21"/>
                                <w:szCs w:val="21"/>
                                <w:lang w:eastAsia="zh-CN"/>
                              </w:rPr>
                              <w:t>年末，</w:t>
                            </w:r>
                            <w:r w:rsidRPr="002F253A">
                              <w:rPr>
                                <w:rFonts w:ascii="Times New Roman" w:eastAsia="楷体" w:hAnsi="Times New Roman" w:cs="Aharoni" w:hint="eastAsia"/>
                                <w:bCs/>
                                <w:iCs/>
                                <w:sz w:val="21"/>
                                <w:szCs w:val="21"/>
                                <w:lang w:eastAsia="zh-CN"/>
                              </w:rPr>
                              <w:t>2000</w:t>
                            </w:r>
                            <w:r w:rsidRPr="002F253A">
                              <w:rPr>
                                <w:rFonts w:ascii="Times New Roman" w:eastAsia="楷体" w:hAnsi="Times New Roman" w:cs="Aharoni" w:hint="eastAsia"/>
                                <w:bCs/>
                                <w:iCs/>
                                <w:sz w:val="21"/>
                                <w:szCs w:val="21"/>
                                <w:lang w:eastAsia="zh-CN"/>
                              </w:rPr>
                              <w:t>年以前建成城镇住房建筑面积大于</w:t>
                            </w:r>
                            <w:r>
                              <w:rPr>
                                <w:rFonts w:ascii="Times New Roman" w:eastAsia="楷体" w:hAnsi="Times New Roman" w:cs="Aharoni"/>
                                <w:bCs/>
                                <w:iCs/>
                                <w:sz w:val="21"/>
                                <w:szCs w:val="21"/>
                                <w:lang w:eastAsia="zh-CN"/>
                              </w:rPr>
                              <w:t>9</w:t>
                            </w:r>
                            <w:r w:rsidRPr="002F253A">
                              <w:rPr>
                                <w:rFonts w:ascii="Times New Roman" w:eastAsia="楷体" w:hAnsi="Times New Roman" w:cs="Aharoni" w:hint="eastAsia"/>
                                <w:bCs/>
                                <w:iCs/>
                                <w:sz w:val="21"/>
                                <w:szCs w:val="21"/>
                                <w:lang w:eastAsia="zh-CN"/>
                              </w:rPr>
                              <w:t>0</w:t>
                            </w:r>
                            <w:r w:rsidRPr="002F253A">
                              <w:rPr>
                                <w:rFonts w:ascii="Times New Roman" w:eastAsia="楷体" w:hAnsi="Times New Roman" w:cs="Aharoni" w:hint="eastAsia"/>
                                <w:bCs/>
                                <w:iCs/>
                                <w:sz w:val="21"/>
                                <w:szCs w:val="21"/>
                                <w:lang w:eastAsia="zh-CN"/>
                              </w:rPr>
                              <w:t>亿平方米</w:t>
                            </w:r>
                            <w:r>
                              <w:rPr>
                                <w:rFonts w:ascii="Times New Roman" w:eastAsia="楷体" w:hAnsi="Times New Roman" w:cs="Aharoni" w:hint="eastAsia"/>
                                <w:bCs/>
                                <w:iCs/>
                                <w:sz w:val="21"/>
                                <w:szCs w:val="21"/>
                                <w:lang w:eastAsia="zh-CN"/>
                              </w:rPr>
                              <w:t>，需改造老旧小区建筑面积大于</w:t>
                            </w:r>
                            <w:r>
                              <w:rPr>
                                <w:rFonts w:ascii="Times New Roman" w:eastAsia="楷体" w:hAnsi="Times New Roman" w:cs="Aharoni"/>
                                <w:bCs/>
                                <w:iCs/>
                                <w:sz w:val="21"/>
                                <w:szCs w:val="21"/>
                                <w:lang w:eastAsia="zh-CN"/>
                              </w:rPr>
                              <w:t>50</w:t>
                            </w:r>
                            <w:r>
                              <w:rPr>
                                <w:rFonts w:ascii="Times New Roman" w:eastAsia="楷体" w:hAnsi="Times New Roman" w:cs="Aharoni"/>
                                <w:bCs/>
                                <w:iCs/>
                                <w:sz w:val="21"/>
                                <w:szCs w:val="21"/>
                                <w:lang w:eastAsia="zh-CN"/>
                              </w:rPr>
                              <w:t>亿</w:t>
                            </w:r>
                            <w:r>
                              <w:rPr>
                                <w:rFonts w:ascii="Times New Roman" w:eastAsia="楷体" w:hAnsi="Times New Roman" w:cs="Aharoni" w:hint="eastAsia"/>
                                <w:bCs/>
                                <w:iCs/>
                                <w:sz w:val="21"/>
                                <w:szCs w:val="21"/>
                                <w:lang w:eastAsia="zh-CN"/>
                              </w:rPr>
                              <w:t>平方米，未来所需总投资额大于</w:t>
                            </w:r>
                            <w:r>
                              <w:rPr>
                                <w:rFonts w:ascii="Times New Roman" w:eastAsia="楷体" w:hAnsi="Times New Roman" w:cs="Aharoni"/>
                                <w:bCs/>
                                <w:iCs/>
                                <w:sz w:val="21"/>
                                <w:szCs w:val="21"/>
                                <w:lang w:eastAsia="zh-CN"/>
                              </w:rPr>
                              <w:t>6</w:t>
                            </w:r>
                            <w:proofErr w:type="gramStart"/>
                            <w:r>
                              <w:rPr>
                                <w:rFonts w:ascii="Times New Roman" w:eastAsia="楷体" w:hAnsi="Times New Roman" w:cs="Aharoni"/>
                                <w:bCs/>
                                <w:iCs/>
                                <w:sz w:val="21"/>
                                <w:szCs w:val="21"/>
                                <w:lang w:eastAsia="zh-CN"/>
                              </w:rPr>
                              <w:t>万亿</w:t>
                            </w:r>
                            <w:proofErr w:type="gramEnd"/>
                            <w:r>
                              <w:rPr>
                                <w:rFonts w:ascii="Times New Roman" w:eastAsia="楷体" w:hAnsi="Times New Roman" w:cs="Aharoni"/>
                                <w:bCs/>
                                <w:iCs/>
                                <w:sz w:val="21"/>
                                <w:szCs w:val="21"/>
                                <w:lang w:eastAsia="zh-CN"/>
                              </w:rPr>
                              <w:t>元</w:t>
                            </w:r>
                            <w:r>
                              <w:rPr>
                                <w:rFonts w:ascii="Times New Roman" w:eastAsia="楷体" w:hAnsi="Times New Roman" w:cs="Aharoni" w:hint="eastAsia"/>
                                <w:bCs/>
                                <w:iCs/>
                                <w:sz w:val="21"/>
                                <w:szCs w:val="21"/>
                                <w:lang w:eastAsia="zh-CN"/>
                              </w:rPr>
                              <w:t>，市场空间较大。</w:t>
                            </w:r>
                          </w:p>
                          <w:p w14:paraId="11655F1F" w14:textId="2C7B9355" w:rsidR="00307227" w:rsidRDefault="00307227" w:rsidP="00290882">
                            <w:pPr>
                              <w:pStyle w:val="a5"/>
                              <w:spacing w:after="120"/>
                              <w:jc w:val="both"/>
                              <w:rPr>
                                <w:rFonts w:ascii="Times New Roman" w:eastAsia="楷体" w:hAnsi="Times New Roman" w:cs="Aharoni"/>
                                <w:b/>
                                <w:iCs/>
                                <w:sz w:val="21"/>
                                <w:szCs w:val="21"/>
                                <w:lang w:eastAsia="zh-CN"/>
                              </w:rPr>
                            </w:pPr>
                            <w:r>
                              <w:rPr>
                                <w:rFonts w:ascii="Times New Roman" w:eastAsia="楷体" w:hAnsi="Times New Roman" w:cs="Aharoni" w:hint="eastAsia"/>
                                <w:b/>
                                <w:iCs/>
                                <w:sz w:val="21"/>
                                <w:szCs w:val="21"/>
                                <w:lang w:eastAsia="zh-CN"/>
                              </w:rPr>
                              <w:t>老旧小区改造推进速度加快，成为</w:t>
                            </w:r>
                            <w:proofErr w:type="gramStart"/>
                            <w:r>
                              <w:rPr>
                                <w:rFonts w:ascii="Times New Roman" w:eastAsia="楷体" w:hAnsi="Times New Roman" w:cs="Aharoni" w:hint="eastAsia"/>
                                <w:b/>
                                <w:iCs/>
                                <w:sz w:val="21"/>
                                <w:szCs w:val="21"/>
                                <w:lang w:eastAsia="zh-CN"/>
                              </w:rPr>
                              <w:t>稳投资</w:t>
                            </w:r>
                            <w:proofErr w:type="gramEnd"/>
                            <w:r>
                              <w:rPr>
                                <w:rFonts w:ascii="Times New Roman" w:eastAsia="楷体" w:hAnsi="Times New Roman" w:cs="Aharoni" w:hint="eastAsia"/>
                                <w:b/>
                                <w:iCs/>
                                <w:sz w:val="21"/>
                                <w:szCs w:val="21"/>
                                <w:lang w:eastAsia="zh-CN"/>
                              </w:rPr>
                              <w:t>切入点。</w:t>
                            </w:r>
                            <w:r>
                              <w:rPr>
                                <w:rFonts w:ascii="Times New Roman" w:eastAsia="楷体" w:hAnsi="Times New Roman" w:cs="Aharoni" w:hint="eastAsia"/>
                                <w:bCs/>
                                <w:iCs/>
                                <w:sz w:val="21"/>
                                <w:szCs w:val="21"/>
                                <w:lang w:eastAsia="zh-CN"/>
                              </w:rPr>
                              <w:t>老旧小区改造于</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015</w:t>
                            </w:r>
                            <w:r>
                              <w:rPr>
                                <w:rFonts w:ascii="Times New Roman" w:eastAsia="楷体" w:hAnsi="Times New Roman" w:cs="Aharoni"/>
                                <w:bCs/>
                                <w:iCs/>
                                <w:sz w:val="21"/>
                                <w:szCs w:val="21"/>
                                <w:lang w:eastAsia="zh-CN"/>
                              </w:rPr>
                              <w:t>年</w:t>
                            </w:r>
                            <w:r>
                              <w:rPr>
                                <w:rFonts w:ascii="Times New Roman" w:eastAsia="楷体" w:hAnsi="Times New Roman" w:cs="Aharoni" w:hint="eastAsia"/>
                                <w:bCs/>
                                <w:iCs/>
                                <w:sz w:val="21"/>
                                <w:szCs w:val="21"/>
                                <w:lang w:eastAsia="zh-CN"/>
                              </w:rPr>
                              <w:t>出于保民生考虑首次提出，于</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017</w:t>
                            </w:r>
                            <w:r>
                              <w:rPr>
                                <w:rFonts w:ascii="Times New Roman" w:eastAsia="楷体" w:hAnsi="Times New Roman" w:cs="Aharoni"/>
                                <w:bCs/>
                                <w:iCs/>
                                <w:sz w:val="21"/>
                                <w:szCs w:val="21"/>
                                <w:lang w:eastAsia="zh-CN"/>
                              </w:rPr>
                              <w:t>年末</w:t>
                            </w:r>
                            <w:r>
                              <w:rPr>
                                <w:rFonts w:ascii="Times New Roman" w:eastAsia="楷体" w:hAnsi="Times New Roman" w:cs="Aharoni" w:hint="eastAsia"/>
                                <w:bCs/>
                                <w:iCs/>
                                <w:sz w:val="21"/>
                                <w:szCs w:val="21"/>
                                <w:lang w:eastAsia="zh-CN"/>
                              </w:rPr>
                              <w:t>开始试点，</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019</w:t>
                            </w:r>
                            <w:r>
                              <w:rPr>
                                <w:rFonts w:ascii="Times New Roman" w:eastAsia="楷体" w:hAnsi="Times New Roman" w:cs="Aharoni"/>
                                <w:bCs/>
                                <w:iCs/>
                                <w:sz w:val="21"/>
                                <w:szCs w:val="21"/>
                                <w:lang w:eastAsia="zh-CN"/>
                              </w:rPr>
                              <w:t>年</w:t>
                            </w:r>
                            <w:r>
                              <w:rPr>
                                <w:rFonts w:ascii="Times New Roman" w:eastAsia="楷体" w:hAnsi="Times New Roman" w:cs="Aharoni" w:hint="eastAsia"/>
                                <w:bCs/>
                                <w:iCs/>
                                <w:sz w:val="21"/>
                                <w:szCs w:val="21"/>
                                <w:lang w:eastAsia="zh-CN"/>
                              </w:rPr>
                              <w:t>6</w:t>
                            </w:r>
                            <w:r>
                              <w:rPr>
                                <w:rFonts w:ascii="Times New Roman" w:eastAsia="楷体" w:hAnsi="Times New Roman" w:cs="Aharoni" w:hint="eastAsia"/>
                                <w:bCs/>
                                <w:iCs/>
                                <w:sz w:val="21"/>
                                <w:szCs w:val="21"/>
                                <w:lang w:eastAsia="zh-CN"/>
                              </w:rPr>
                              <w:t>月以来，随着棚</w:t>
                            </w:r>
                            <w:proofErr w:type="gramStart"/>
                            <w:r>
                              <w:rPr>
                                <w:rFonts w:ascii="Times New Roman" w:eastAsia="楷体" w:hAnsi="Times New Roman" w:cs="Aharoni" w:hint="eastAsia"/>
                                <w:bCs/>
                                <w:iCs/>
                                <w:sz w:val="21"/>
                                <w:szCs w:val="21"/>
                                <w:lang w:eastAsia="zh-CN"/>
                              </w:rPr>
                              <w:t>改规模</w:t>
                            </w:r>
                            <w:proofErr w:type="gramEnd"/>
                            <w:r>
                              <w:rPr>
                                <w:rFonts w:ascii="Times New Roman" w:eastAsia="楷体" w:hAnsi="Times New Roman" w:cs="Aharoni" w:hint="eastAsia"/>
                                <w:bCs/>
                                <w:iCs/>
                                <w:sz w:val="21"/>
                                <w:szCs w:val="21"/>
                                <w:lang w:eastAsia="zh-CN"/>
                              </w:rPr>
                              <w:t>大幅下降，</w:t>
                            </w:r>
                            <w:r w:rsidRPr="00615EEA">
                              <w:rPr>
                                <w:rFonts w:ascii="Times New Roman" w:eastAsia="楷体" w:hAnsi="Times New Roman" w:cs="Aharoni" w:hint="eastAsia"/>
                                <w:bCs/>
                                <w:iCs/>
                                <w:sz w:val="21"/>
                                <w:szCs w:val="21"/>
                                <w:lang w:eastAsia="zh-CN"/>
                              </w:rPr>
                              <w:t>房地产投资增长动力有所减弱，中央密集出台针对老旧小区改造的推进部署及财政支持政策，以期在维持房地产市场平稳发展的同时，达成</w:t>
                            </w:r>
                            <w:proofErr w:type="gramStart"/>
                            <w:r w:rsidRPr="00615EEA">
                              <w:rPr>
                                <w:rFonts w:ascii="Times New Roman" w:eastAsia="楷体" w:hAnsi="Times New Roman" w:cs="Aharoni" w:hint="eastAsia"/>
                                <w:bCs/>
                                <w:iCs/>
                                <w:sz w:val="21"/>
                                <w:szCs w:val="21"/>
                                <w:lang w:eastAsia="zh-CN"/>
                              </w:rPr>
                              <w:t>稳投资</w:t>
                            </w:r>
                            <w:proofErr w:type="gramEnd"/>
                            <w:r w:rsidRPr="00615EEA">
                              <w:rPr>
                                <w:rFonts w:ascii="Times New Roman" w:eastAsia="楷体" w:hAnsi="Times New Roman" w:cs="Aharoni" w:hint="eastAsia"/>
                                <w:bCs/>
                                <w:iCs/>
                                <w:sz w:val="21"/>
                                <w:szCs w:val="21"/>
                                <w:lang w:eastAsia="zh-CN"/>
                              </w:rPr>
                              <w:t>目标。</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020</w:t>
                            </w:r>
                            <w:r>
                              <w:rPr>
                                <w:rFonts w:ascii="Times New Roman" w:eastAsia="楷体" w:hAnsi="Times New Roman" w:cs="Aharoni"/>
                                <w:bCs/>
                                <w:iCs/>
                                <w:sz w:val="21"/>
                                <w:szCs w:val="21"/>
                                <w:lang w:eastAsia="zh-CN"/>
                              </w:rPr>
                              <w:t>年</w:t>
                            </w:r>
                            <w:r>
                              <w:rPr>
                                <w:rFonts w:ascii="Times New Roman" w:eastAsia="楷体" w:hAnsi="Times New Roman" w:cs="Aharoni" w:hint="eastAsia"/>
                                <w:bCs/>
                                <w:iCs/>
                                <w:sz w:val="21"/>
                                <w:szCs w:val="21"/>
                                <w:lang w:eastAsia="zh-CN"/>
                              </w:rPr>
                              <w:t>4</w:t>
                            </w:r>
                            <w:r>
                              <w:rPr>
                                <w:rFonts w:ascii="Times New Roman" w:eastAsia="楷体" w:hAnsi="Times New Roman" w:cs="Aharoni"/>
                                <w:bCs/>
                                <w:iCs/>
                                <w:sz w:val="21"/>
                                <w:szCs w:val="21"/>
                                <w:lang w:eastAsia="zh-CN"/>
                              </w:rPr>
                              <w:t>月</w:t>
                            </w:r>
                            <w:r>
                              <w:rPr>
                                <w:rFonts w:ascii="Times New Roman" w:eastAsia="楷体" w:hAnsi="Times New Roman" w:cs="Aharoni" w:hint="eastAsia"/>
                                <w:bCs/>
                                <w:iCs/>
                                <w:sz w:val="21"/>
                                <w:szCs w:val="21"/>
                                <w:lang w:eastAsia="zh-CN"/>
                              </w:rPr>
                              <w:t>，住建部鼓励房地产开发企业参与老旧小区改造。</w:t>
                            </w:r>
                          </w:p>
                          <w:p w14:paraId="2F2BFF9B" w14:textId="424DAC43" w:rsidR="00307227" w:rsidRPr="002F253A" w:rsidRDefault="00307227" w:rsidP="00290882">
                            <w:pPr>
                              <w:pStyle w:val="a5"/>
                              <w:spacing w:after="120"/>
                              <w:jc w:val="both"/>
                              <w:rPr>
                                <w:rFonts w:ascii="Times New Roman" w:eastAsia="楷体" w:hAnsi="Times New Roman" w:cs="Aharoni"/>
                                <w:b/>
                                <w:iCs/>
                                <w:sz w:val="21"/>
                                <w:szCs w:val="21"/>
                                <w:lang w:eastAsia="zh-CN"/>
                              </w:rPr>
                            </w:pPr>
                            <w:bookmarkStart w:id="0" w:name="_Hlk37026851"/>
                            <w:r>
                              <w:rPr>
                                <w:rFonts w:ascii="Times New Roman" w:eastAsia="楷体" w:hAnsi="Times New Roman" w:cs="Aharoni" w:hint="eastAsia"/>
                                <w:b/>
                                <w:iCs/>
                                <w:sz w:val="21"/>
                                <w:szCs w:val="21"/>
                                <w:lang w:eastAsia="zh-CN"/>
                              </w:rPr>
                              <w:t>参与老旧小区改造将助力房企积累住房更新经验，提升服务及运营能力，在存量住宅时代实现持续发展</w:t>
                            </w:r>
                            <w:r w:rsidRPr="002F253A">
                              <w:rPr>
                                <w:rFonts w:ascii="Times New Roman" w:eastAsia="楷体" w:hAnsi="Times New Roman" w:cs="Aharoni" w:hint="eastAsia"/>
                                <w:b/>
                                <w:iCs/>
                                <w:sz w:val="21"/>
                                <w:szCs w:val="21"/>
                                <w:lang w:eastAsia="zh-CN"/>
                              </w:rPr>
                              <w:t>。</w:t>
                            </w:r>
                            <w:bookmarkEnd w:id="0"/>
                            <w:r w:rsidRPr="000546A7">
                              <w:rPr>
                                <w:rFonts w:ascii="Times New Roman" w:eastAsia="楷体" w:hAnsi="Times New Roman" w:cs="Aharoni"/>
                                <w:bCs/>
                                <w:iCs/>
                                <w:sz w:val="21"/>
                                <w:szCs w:val="21"/>
                                <w:lang w:eastAsia="zh-CN"/>
                              </w:rPr>
                              <w:t>当前</w:t>
                            </w:r>
                            <w:r w:rsidRPr="000546A7">
                              <w:rPr>
                                <w:rFonts w:ascii="Times New Roman" w:eastAsia="楷体" w:hAnsi="Times New Roman" w:cs="Aharoni" w:hint="eastAsia"/>
                                <w:bCs/>
                                <w:iCs/>
                                <w:sz w:val="21"/>
                                <w:szCs w:val="21"/>
                                <w:lang w:eastAsia="zh-CN"/>
                              </w:rPr>
                              <w:t>房</w:t>
                            </w:r>
                            <w:proofErr w:type="gramStart"/>
                            <w:r w:rsidRPr="000546A7">
                              <w:rPr>
                                <w:rFonts w:ascii="Times New Roman" w:eastAsia="楷体" w:hAnsi="Times New Roman" w:cs="Aharoni" w:hint="eastAsia"/>
                                <w:bCs/>
                                <w:iCs/>
                                <w:sz w:val="21"/>
                                <w:szCs w:val="21"/>
                                <w:lang w:eastAsia="zh-CN"/>
                              </w:rPr>
                              <w:t>企参与</w:t>
                            </w:r>
                            <w:proofErr w:type="gramEnd"/>
                            <w:r w:rsidRPr="000546A7">
                              <w:rPr>
                                <w:rFonts w:ascii="Times New Roman" w:eastAsia="楷体" w:hAnsi="Times New Roman" w:cs="Aharoni" w:hint="eastAsia"/>
                                <w:bCs/>
                                <w:iCs/>
                                <w:sz w:val="21"/>
                                <w:szCs w:val="21"/>
                                <w:lang w:eastAsia="zh-CN"/>
                              </w:rPr>
                              <w:t>老旧小区改造的主要模式为：</w:t>
                            </w:r>
                            <w:r w:rsidRPr="008E53BA">
                              <w:rPr>
                                <w:rFonts w:ascii="Times New Roman" w:eastAsia="楷体" w:hAnsi="Times New Roman" w:cs="Aharoni" w:hint="eastAsia"/>
                                <w:b/>
                                <w:iCs/>
                                <w:sz w:val="21"/>
                                <w:szCs w:val="21"/>
                                <w:lang w:eastAsia="zh-CN"/>
                              </w:rPr>
                              <w:t>1</w:t>
                            </w:r>
                            <w:r w:rsidRPr="008E53BA">
                              <w:rPr>
                                <w:rFonts w:ascii="Times New Roman" w:eastAsia="楷体" w:hAnsi="Times New Roman" w:cs="Aharoni" w:hint="eastAsia"/>
                                <w:b/>
                                <w:iCs/>
                                <w:sz w:val="21"/>
                                <w:szCs w:val="21"/>
                                <w:lang w:eastAsia="zh-CN"/>
                              </w:rPr>
                              <w:t>）与政府合作，对老旧小区建筑及基础设施进行修缮及改造：</w:t>
                            </w:r>
                            <w:r w:rsidRPr="00E5410C">
                              <w:rPr>
                                <w:rFonts w:ascii="Times New Roman" w:eastAsia="楷体" w:hAnsi="Times New Roman" w:cs="Aharoni" w:hint="eastAsia"/>
                                <w:bCs/>
                                <w:iCs/>
                                <w:sz w:val="21"/>
                                <w:szCs w:val="21"/>
                                <w:lang w:eastAsia="zh-CN"/>
                              </w:rPr>
                              <w:t>当前一线城市供地相对较少，旧城区存量住宅较多，参与老旧小区改造能够使开发商积累存量住宅更新经验、培养相应人才团队，为后续发展奠定基础</w:t>
                            </w:r>
                            <w:r>
                              <w:rPr>
                                <w:rFonts w:ascii="Times New Roman" w:eastAsia="楷体" w:hAnsi="Times New Roman" w:cs="Aharoni" w:hint="eastAsia"/>
                                <w:bCs/>
                                <w:iCs/>
                                <w:sz w:val="21"/>
                                <w:szCs w:val="21"/>
                                <w:lang w:eastAsia="zh-CN"/>
                              </w:rPr>
                              <w:t>；</w:t>
                            </w:r>
                            <w:r w:rsidRPr="008E53BA">
                              <w:rPr>
                                <w:rFonts w:ascii="Times New Roman" w:eastAsia="楷体" w:hAnsi="Times New Roman" w:cs="Aharoni" w:hint="eastAsia"/>
                                <w:b/>
                                <w:iCs/>
                                <w:sz w:val="21"/>
                                <w:szCs w:val="21"/>
                                <w:lang w:eastAsia="zh-CN"/>
                              </w:rPr>
                              <w:t>2</w:t>
                            </w:r>
                            <w:r w:rsidRPr="008E53BA">
                              <w:rPr>
                                <w:rFonts w:ascii="Times New Roman" w:eastAsia="楷体" w:hAnsi="Times New Roman" w:cs="Aharoni" w:hint="eastAsia"/>
                                <w:b/>
                                <w:iCs/>
                                <w:sz w:val="21"/>
                                <w:szCs w:val="21"/>
                                <w:lang w:eastAsia="zh-CN"/>
                              </w:rPr>
                              <w:t>）参与</w:t>
                            </w:r>
                            <w:r w:rsidRPr="008E53BA">
                              <w:rPr>
                                <w:rFonts w:ascii="Times New Roman" w:eastAsia="楷体" w:hAnsi="Times New Roman" w:cs="Aharoni" w:hint="eastAsia"/>
                                <w:b/>
                                <w:iCs/>
                                <w:sz w:val="21"/>
                                <w:szCs w:val="21"/>
                                <w:lang w:eastAsia="zh-CN"/>
                              </w:rPr>
                              <w:t>BOT</w:t>
                            </w:r>
                            <w:r w:rsidRPr="008E53BA">
                              <w:rPr>
                                <w:rFonts w:ascii="Times New Roman" w:eastAsia="楷体" w:hAnsi="Times New Roman" w:cs="Aharoni" w:hint="eastAsia"/>
                                <w:b/>
                                <w:iCs/>
                                <w:sz w:val="21"/>
                                <w:szCs w:val="21"/>
                                <w:lang w:eastAsia="zh-CN"/>
                              </w:rPr>
                              <w:t>项目获取运营收入：</w:t>
                            </w:r>
                            <w:r w:rsidRPr="00E5504C">
                              <w:rPr>
                                <w:rFonts w:ascii="Times New Roman" w:eastAsia="楷体" w:hAnsi="Times New Roman" w:cs="Aharoni" w:hint="eastAsia"/>
                                <w:bCs/>
                                <w:iCs/>
                                <w:sz w:val="21"/>
                                <w:szCs w:val="21"/>
                                <w:lang w:eastAsia="zh-CN"/>
                              </w:rPr>
                              <w:t>老旧小区改造将对开发商的城市运营和资产管理能力提出更高要求</w:t>
                            </w:r>
                            <w:r>
                              <w:rPr>
                                <w:rFonts w:ascii="Times New Roman" w:eastAsia="楷体" w:hAnsi="Times New Roman" w:cs="Aharoni" w:hint="eastAsia"/>
                                <w:bCs/>
                                <w:iCs/>
                                <w:sz w:val="21"/>
                                <w:szCs w:val="21"/>
                                <w:lang w:eastAsia="zh-CN"/>
                              </w:rPr>
                              <w:t>，</w:t>
                            </w:r>
                            <w:r w:rsidRPr="00BA7281">
                              <w:rPr>
                                <w:rFonts w:ascii="Times New Roman" w:eastAsia="楷体" w:hAnsi="Times New Roman" w:cs="Aharoni" w:hint="eastAsia"/>
                                <w:bCs/>
                                <w:iCs/>
                                <w:sz w:val="21"/>
                                <w:szCs w:val="21"/>
                                <w:lang w:eastAsia="zh-CN"/>
                              </w:rPr>
                              <w:t>参与改造或将使房企的服务及运营能力得到提升，助力房企在存量住宅时代的持续发展。</w:t>
                            </w:r>
                          </w:p>
                          <w:p w14:paraId="3801FDDA" w14:textId="1AD61AF3" w:rsidR="00307227" w:rsidRDefault="00307227" w:rsidP="00290882">
                            <w:pPr>
                              <w:pStyle w:val="a5"/>
                              <w:spacing w:after="120"/>
                              <w:jc w:val="both"/>
                              <w:rPr>
                                <w:rFonts w:ascii="Times New Roman" w:hAnsi="Times New Roman" w:cs="Aharoni"/>
                                <w:b/>
                                <w:i/>
                                <w:color w:val="FF0000"/>
                                <w:sz w:val="21"/>
                                <w:szCs w:val="21"/>
                                <w:lang w:eastAsia="zh-CN"/>
                              </w:rPr>
                            </w:pPr>
                            <w:r w:rsidRPr="00581B39">
                              <w:rPr>
                                <w:rFonts w:ascii="Times New Roman" w:eastAsia="楷体" w:hAnsi="Times New Roman" w:cs="Aharoni"/>
                                <w:b/>
                                <w:i/>
                                <w:color w:val="FF0000"/>
                                <w:sz w:val="21"/>
                                <w:szCs w:val="21"/>
                                <w:lang w:eastAsia="zh-CN"/>
                              </w:rPr>
                              <w:t>数据要点</w:t>
                            </w:r>
                            <w:r w:rsidRPr="00581B39">
                              <w:rPr>
                                <w:rFonts w:ascii="Times New Roman" w:hAnsi="Times New Roman" w:cs="Aharoni" w:hint="eastAsia"/>
                                <w:b/>
                                <w:i/>
                                <w:color w:val="FF0000"/>
                                <w:sz w:val="21"/>
                                <w:szCs w:val="21"/>
                                <w:lang w:eastAsia="zh-CN"/>
                              </w:rPr>
                              <w:t>：</w:t>
                            </w:r>
                          </w:p>
                          <w:p w14:paraId="3F745948" w14:textId="3730A269" w:rsidR="00307227" w:rsidRDefault="00307227" w:rsidP="00290882">
                            <w:pPr>
                              <w:pStyle w:val="a5"/>
                              <w:spacing w:after="120"/>
                              <w:jc w:val="both"/>
                              <w:rPr>
                                <w:rFonts w:ascii="Times New Roman" w:eastAsia="楷体" w:hAnsi="Times New Roman" w:cs="Times New Roman"/>
                                <w:bCs/>
                                <w:iCs/>
                                <w:color w:val="000000" w:themeColor="text1"/>
                                <w:sz w:val="21"/>
                                <w:szCs w:val="21"/>
                                <w:lang w:eastAsia="zh-CN"/>
                              </w:rPr>
                            </w:pPr>
                            <w:r w:rsidRPr="00243574">
                              <w:rPr>
                                <w:rFonts w:ascii="Times New Roman" w:eastAsia="楷体" w:hAnsi="Times New Roman" w:cs="Times New Roman"/>
                                <w:bCs/>
                                <w:iCs/>
                                <w:color w:val="000000" w:themeColor="text1"/>
                                <w:sz w:val="21"/>
                                <w:szCs w:val="21"/>
                                <w:lang w:eastAsia="zh-CN"/>
                              </w:rPr>
                              <w:t>截至</w:t>
                            </w:r>
                            <w:r>
                              <w:rPr>
                                <w:rFonts w:ascii="Times New Roman" w:eastAsia="楷体" w:hAnsi="Times New Roman" w:cs="Times New Roman"/>
                                <w:bCs/>
                                <w:iCs/>
                                <w:color w:val="000000" w:themeColor="text1"/>
                                <w:sz w:val="21"/>
                                <w:szCs w:val="21"/>
                                <w:lang w:eastAsia="zh-CN"/>
                              </w:rPr>
                              <w:t>4</w:t>
                            </w:r>
                            <w:r w:rsidRPr="00243574">
                              <w:rPr>
                                <w:rFonts w:ascii="Times New Roman" w:eastAsia="楷体" w:hAnsi="Times New Roman" w:cs="Times New Roman"/>
                                <w:bCs/>
                                <w:iCs/>
                                <w:color w:val="000000" w:themeColor="text1"/>
                                <w:sz w:val="21"/>
                                <w:szCs w:val="21"/>
                                <w:lang w:eastAsia="zh-CN"/>
                              </w:rPr>
                              <w:t>月</w:t>
                            </w:r>
                            <w:r>
                              <w:rPr>
                                <w:rFonts w:ascii="Times New Roman" w:eastAsia="楷体" w:hAnsi="Times New Roman" w:cs="Times New Roman"/>
                                <w:bCs/>
                                <w:iCs/>
                                <w:color w:val="000000" w:themeColor="text1"/>
                                <w:sz w:val="21"/>
                                <w:szCs w:val="21"/>
                                <w:lang w:eastAsia="zh-CN"/>
                              </w:rPr>
                              <w:t>3</w:t>
                            </w:r>
                            <w:r w:rsidRPr="00243574">
                              <w:rPr>
                                <w:rFonts w:ascii="Times New Roman" w:eastAsia="楷体" w:hAnsi="Times New Roman" w:cs="Times New Roman"/>
                                <w:bCs/>
                                <w:iCs/>
                                <w:color w:val="000000" w:themeColor="text1"/>
                                <w:sz w:val="21"/>
                                <w:szCs w:val="21"/>
                                <w:lang w:eastAsia="zh-CN"/>
                              </w:rPr>
                              <w:t>日，</w:t>
                            </w:r>
                            <w:r>
                              <w:rPr>
                                <w:rFonts w:ascii="Times New Roman" w:eastAsia="楷体" w:hAnsi="Times New Roman" w:cs="Times New Roman" w:hint="eastAsia"/>
                                <w:bCs/>
                                <w:iCs/>
                                <w:color w:val="000000" w:themeColor="text1"/>
                                <w:sz w:val="21"/>
                                <w:szCs w:val="21"/>
                                <w:lang w:eastAsia="zh-CN"/>
                              </w:rPr>
                              <w:t>本</w:t>
                            </w:r>
                            <w:r w:rsidRPr="00243574">
                              <w:rPr>
                                <w:rFonts w:ascii="Times New Roman" w:eastAsia="楷体" w:hAnsi="Times New Roman" w:cs="Times New Roman"/>
                                <w:bCs/>
                                <w:iCs/>
                                <w:color w:val="000000" w:themeColor="text1"/>
                                <w:sz w:val="21"/>
                                <w:szCs w:val="21"/>
                                <w:lang w:eastAsia="zh-CN"/>
                              </w:rPr>
                              <w:t>周</w:t>
                            </w:r>
                            <w:r w:rsidRPr="00243574">
                              <w:rPr>
                                <w:rFonts w:ascii="Times New Roman" w:eastAsia="楷体" w:hAnsi="Times New Roman" w:cs="Times New Roman"/>
                                <w:bCs/>
                                <w:iCs/>
                                <w:color w:val="000000" w:themeColor="text1"/>
                                <w:sz w:val="21"/>
                                <w:szCs w:val="21"/>
                                <w:lang w:eastAsia="zh-CN"/>
                              </w:rPr>
                              <w:t>44</w:t>
                            </w:r>
                            <w:r w:rsidRPr="00243574">
                              <w:rPr>
                                <w:rFonts w:ascii="Times New Roman" w:eastAsia="楷体" w:hAnsi="Times New Roman" w:cs="Times New Roman"/>
                                <w:bCs/>
                                <w:iCs/>
                                <w:color w:val="000000" w:themeColor="text1"/>
                                <w:sz w:val="21"/>
                                <w:szCs w:val="21"/>
                                <w:lang w:eastAsia="zh-CN"/>
                              </w:rPr>
                              <w:t>个主要城市新房成交</w:t>
                            </w:r>
                            <w:proofErr w:type="gramStart"/>
                            <w:r w:rsidRPr="00243574">
                              <w:rPr>
                                <w:rFonts w:ascii="Times New Roman" w:eastAsia="楷体" w:hAnsi="Times New Roman" w:cs="Times New Roman"/>
                                <w:bCs/>
                                <w:iCs/>
                                <w:color w:val="000000" w:themeColor="text1"/>
                                <w:sz w:val="21"/>
                                <w:szCs w:val="21"/>
                                <w:lang w:eastAsia="zh-CN"/>
                              </w:rPr>
                              <w:t>面积环</w:t>
                            </w:r>
                            <w:proofErr w:type="gramEnd"/>
                            <w:r w:rsidRPr="00243574">
                              <w:rPr>
                                <w:rFonts w:ascii="Times New Roman" w:eastAsia="楷体" w:hAnsi="Times New Roman" w:cs="Times New Roman"/>
                                <w:bCs/>
                                <w:iCs/>
                                <w:color w:val="000000" w:themeColor="text1"/>
                                <w:sz w:val="21"/>
                                <w:szCs w:val="21"/>
                                <w:lang w:eastAsia="zh-CN"/>
                              </w:rPr>
                              <w:t>比</w:t>
                            </w:r>
                            <w:r w:rsidRPr="00126E38">
                              <w:rPr>
                                <w:rFonts w:ascii="Times New Roman" w:eastAsia="楷体" w:hAnsi="Times New Roman" w:cs="Times New Roman"/>
                                <w:bCs/>
                                <w:iCs/>
                                <w:color w:val="000000" w:themeColor="text1"/>
                                <w:sz w:val="21"/>
                                <w:szCs w:val="21"/>
                                <w:lang w:eastAsia="zh-CN"/>
                              </w:rPr>
                              <w:t>上升</w:t>
                            </w:r>
                            <w:r>
                              <w:rPr>
                                <w:rFonts w:ascii="Times New Roman" w:eastAsia="楷体" w:hAnsi="Times New Roman" w:cs="Times New Roman"/>
                                <w:bCs/>
                                <w:iCs/>
                                <w:color w:val="000000" w:themeColor="text1"/>
                                <w:sz w:val="21"/>
                                <w:szCs w:val="21"/>
                                <w:lang w:eastAsia="zh-CN"/>
                              </w:rPr>
                              <w:t>8</w:t>
                            </w:r>
                            <w:r w:rsidRPr="00126E38">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2020</w:t>
                            </w:r>
                            <w:r w:rsidRPr="00243574">
                              <w:rPr>
                                <w:rFonts w:ascii="Times New Roman" w:eastAsia="楷体" w:hAnsi="Times New Roman" w:cs="Times New Roman"/>
                                <w:bCs/>
                                <w:iCs/>
                                <w:color w:val="000000" w:themeColor="text1"/>
                                <w:sz w:val="21"/>
                                <w:szCs w:val="21"/>
                                <w:lang w:eastAsia="zh-CN"/>
                              </w:rPr>
                              <w:t>年累计成交面积同比</w:t>
                            </w:r>
                            <w:r w:rsidRPr="00126E38">
                              <w:rPr>
                                <w:rFonts w:ascii="Times New Roman" w:eastAsia="楷体" w:hAnsi="Times New Roman" w:cs="Times New Roman"/>
                                <w:bCs/>
                                <w:iCs/>
                                <w:color w:val="000000" w:themeColor="text1"/>
                                <w:sz w:val="21"/>
                                <w:szCs w:val="21"/>
                                <w:lang w:eastAsia="zh-CN"/>
                              </w:rPr>
                              <w:t>下降</w:t>
                            </w:r>
                            <w:r w:rsidR="006258A3">
                              <w:rPr>
                                <w:rFonts w:ascii="Times New Roman" w:eastAsia="楷体" w:hAnsi="Times New Roman" w:cs="Times New Roman"/>
                                <w:bCs/>
                                <w:iCs/>
                                <w:color w:val="000000" w:themeColor="text1"/>
                                <w:sz w:val="21"/>
                                <w:szCs w:val="21"/>
                                <w:lang w:eastAsia="zh-CN"/>
                              </w:rPr>
                              <w:t>32</w:t>
                            </w:r>
                            <w:r w:rsidRPr="00126E38">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w:t>
                            </w:r>
                          </w:p>
                          <w:p w14:paraId="6D91E4C3" w14:textId="7572C2B5" w:rsidR="00307227" w:rsidRDefault="00307227" w:rsidP="00290882">
                            <w:pPr>
                              <w:pStyle w:val="a5"/>
                              <w:spacing w:after="120"/>
                              <w:jc w:val="both"/>
                              <w:rPr>
                                <w:rFonts w:ascii="Times New Roman" w:eastAsia="楷体" w:hAnsi="Times New Roman" w:cs="Times New Roman"/>
                                <w:bCs/>
                                <w:iCs/>
                                <w:color w:val="000000" w:themeColor="text1"/>
                                <w:sz w:val="21"/>
                                <w:szCs w:val="21"/>
                                <w:lang w:eastAsia="zh-CN"/>
                              </w:rPr>
                            </w:pPr>
                            <w:r w:rsidRPr="00265EEF">
                              <w:rPr>
                                <w:rFonts w:ascii="Times New Roman" w:eastAsia="楷体" w:hAnsi="Times New Roman" w:cs="Times New Roman" w:hint="eastAsia"/>
                                <w:bCs/>
                                <w:iCs/>
                                <w:color w:val="000000" w:themeColor="text1"/>
                                <w:sz w:val="21"/>
                                <w:szCs w:val="21"/>
                                <w:lang w:eastAsia="zh-CN"/>
                              </w:rPr>
                              <w:t>截至</w:t>
                            </w:r>
                            <w:r>
                              <w:rPr>
                                <w:rFonts w:ascii="Times New Roman" w:eastAsia="楷体" w:hAnsi="Times New Roman" w:cs="Times New Roman"/>
                                <w:bCs/>
                                <w:iCs/>
                                <w:color w:val="000000" w:themeColor="text1"/>
                                <w:sz w:val="21"/>
                                <w:szCs w:val="21"/>
                                <w:lang w:eastAsia="zh-CN"/>
                              </w:rPr>
                              <w:t>4</w:t>
                            </w:r>
                            <w:r w:rsidRPr="00265EEF">
                              <w:rPr>
                                <w:rFonts w:ascii="Times New Roman" w:eastAsia="楷体" w:hAnsi="Times New Roman" w:cs="Times New Roman" w:hint="eastAsia"/>
                                <w:bCs/>
                                <w:iCs/>
                                <w:color w:val="000000" w:themeColor="text1"/>
                                <w:sz w:val="21"/>
                                <w:szCs w:val="21"/>
                                <w:lang w:eastAsia="zh-CN"/>
                              </w:rPr>
                              <w:t>月</w:t>
                            </w:r>
                            <w:r>
                              <w:rPr>
                                <w:rFonts w:ascii="Times New Roman" w:eastAsia="楷体" w:hAnsi="Times New Roman" w:cs="Times New Roman"/>
                                <w:bCs/>
                                <w:iCs/>
                                <w:color w:val="000000" w:themeColor="text1"/>
                                <w:sz w:val="21"/>
                                <w:szCs w:val="21"/>
                                <w:lang w:eastAsia="zh-CN"/>
                              </w:rPr>
                              <w:t>3</w:t>
                            </w:r>
                            <w:r w:rsidRPr="00265EEF">
                              <w:rPr>
                                <w:rFonts w:ascii="Times New Roman" w:eastAsia="楷体" w:hAnsi="Times New Roman" w:cs="Times New Roman" w:hint="eastAsia"/>
                                <w:bCs/>
                                <w:iCs/>
                                <w:color w:val="000000" w:themeColor="text1"/>
                                <w:sz w:val="21"/>
                                <w:szCs w:val="21"/>
                                <w:lang w:eastAsia="zh-CN"/>
                              </w:rPr>
                              <w:t>日，</w:t>
                            </w:r>
                            <w:r>
                              <w:rPr>
                                <w:rFonts w:ascii="Times New Roman" w:eastAsia="楷体" w:hAnsi="Times New Roman" w:cs="Times New Roman" w:hint="eastAsia"/>
                                <w:bCs/>
                                <w:iCs/>
                                <w:color w:val="000000" w:themeColor="text1"/>
                                <w:sz w:val="21"/>
                                <w:szCs w:val="21"/>
                                <w:lang w:eastAsia="zh-CN"/>
                              </w:rPr>
                              <w:t>本</w:t>
                            </w:r>
                            <w:r w:rsidRPr="00460EAD">
                              <w:rPr>
                                <w:rFonts w:ascii="Times New Roman" w:eastAsia="楷体" w:hAnsi="Times New Roman" w:cs="Times New Roman" w:hint="eastAsia"/>
                                <w:bCs/>
                                <w:iCs/>
                                <w:color w:val="000000" w:themeColor="text1"/>
                                <w:sz w:val="21"/>
                                <w:szCs w:val="21"/>
                                <w:lang w:eastAsia="zh-CN"/>
                              </w:rPr>
                              <w:t>周</w:t>
                            </w:r>
                            <w:r w:rsidRPr="00243574">
                              <w:rPr>
                                <w:rFonts w:ascii="Times New Roman" w:eastAsia="楷体" w:hAnsi="Times New Roman" w:cs="Times New Roman"/>
                                <w:bCs/>
                                <w:iCs/>
                                <w:color w:val="000000" w:themeColor="text1"/>
                                <w:sz w:val="21"/>
                                <w:szCs w:val="21"/>
                                <w:lang w:eastAsia="zh-CN"/>
                              </w:rPr>
                              <w:t>1</w:t>
                            </w:r>
                            <w:r>
                              <w:rPr>
                                <w:rFonts w:ascii="Times New Roman" w:eastAsia="楷体" w:hAnsi="Times New Roman" w:cs="Times New Roman"/>
                                <w:bCs/>
                                <w:iCs/>
                                <w:color w:val="000000" w:themeColor="text1"/>
                                <w:sz w:val="21"/>
                                <w:szCs w:val="21"/>
                                <w:lang w:eastAsia="zh-CN"/>
                              </w:rPr>
                              <w:t>3</w:t>
                            </w:r>
                            <w:r w:rsidRPr="00243574">
                              <w:rPr>
                                <w:rFonts w:ascii="Times New Roman" w:eastAsia="楷体" w:hAnsi="Times New Roman" w:cs="Times New Roman"/>
                                <w:bCs/>
                                <w:iCs/>
                                <w:color w:val="000000" w:themeColor="text1"/>
                                <w:sz w:val="21"/>
                                <w:szCs w:val="21"/>
                                <w:lang w:eastAsia="zh-CN"/>
                              </w:rPr>
                              <w:t>个主要城市可售面积（库存）环比</w:t>
                            </w:r>
                            <w:r>
                              <w:rPr>
                                <w:rFonts w:ascii="Times New Roman" w:eastAsia="楷体" w:hAnsi="Times New Roman" w:cs="Times New Roman" w:hint="eastAsia"/>
                                <w:bCs/>
                                <w:iCs/>
                                <w:color w:val="000000" w:themeColor="text1"/>
                                <w:sz w:val="21"/>
                                <w:szCs w:val="21"/>
                                <w:lang w:eastAsia="zh-CN"/>
                              </w:rPr>
                              <w:t>上升</w:t>
                            </w:r>
                            <w:r>
                              <w:rPr>
                                <w:rFonts w:ascii="Times New Roman" w:eastAsia="楷体" w:hAnsi="Times New Roman" w:cs="Times New Roman"/>
                                <w:bCs/>
                                <w:iCs/>
                                <w:color w:val="000000" w:themeColor="text1"/>
                                <w:sz w:val="21"/>
                                <w:szCs w:val="21"/>
                                <w:lang w:eastAsia="zh-CN"/>
                              </w:rPr>
                              <w:t>0.4%</w:t>
                            </w:r>
                            <w:r w:rsidRPr="00243574">
                              <w:rPr>
                                <w:rFonts w:ascii="Times New Roman" w:eastAsia="楷体" w:hAnsi="Times New Roman" w:cs="Times New Roman"/>
                                <w:bCs/>
                                <w:iCs/>
                                <w:color w:val="000000" w:themeColor="text1"/>
                                <w:sz w:val="21"/>
                                <w:szCs w:val="21"/>
                                <w:lang w:eastAsia="zh-CN"/>
                              </w:rPr>
                              <w:t>；</w:t>
                            </w:r>
                            <w:proofErr w:type="gramStart"/>
                            <w:r w:rsidRPr="00243574">
                              <w:rPr>
                                <w:rFonts w:ascii="Times New Roman" w:eastAsia="楷体" w:hAnsi="Times New Roman" w:cs="Times New Roman"/>
                                <w:bCs/>
                                <w:iCs/>
                                <w:color w:val="000000" w:themeColor="text1"/>
                                <w:sz w:val="21"/>
                                <w:szCs w:val="21"/>
                                <w:lang w:eastAsia="zh-CN"/>
                              </w:rPr>
                              <w:t>平均去</w:t>
                            </w:r>
                            <w:proofErr w:type="gramEnd"/>
                            <w:r w:rsidRPr="00243574">
                              <w:rPr>
                                <w:rFonts w:ascii="Times New Roman" w:eastAsia="楷体" w:hAnsi="Times New Roman" w:cs="Times New Roman"/>
                                <w:bCs/>
                                <w:iCs/>
                                <w:color w:val="000000" w:themeColor="text1"/>
                                <w:sz w:val="21"/>
                                <w:szCs w:val="21"/>
                                <w:lang w:eastAsia="zh-CN"/>
                              </w:rPr>
                              <w:t>化周期</w:t>
                            </w:r>
                            <w:r>
                              <w:rPr>
                                <w:rFonts w:ascii="Times New Roman" w:eastAsia="楷体" w:hAnsi="Times New Roman" w:cs="Times New Roman"/>
                                <w:bCs/>
                                <w:iCs/>
                                <w:color w:val="000000" w:themeColor="text1"/>
                                <w:sz w:val="21"/>
                                <w:szCs w:val="21"/>
                                <w:lang w:eastAsia="zh-CN"/>
                              </w:rPr>
                              <w:t>17.3</w:t>
                            </w:r>
                            <w:r w:rsidRPr="00243574">
                              <w:rPr>
                                <w:rFonts w:ascii="Times New Roman" w:eastAsia="楷体" w:hAnsi="Times New Roman" w:cs="Times New Roman"/>
                                <w:bCs/>
                                <w:iCs/>
                                <w:color w:val="000000" w:themeColor="text1"/>
                                <w:sz w:val="21"/>
                                <w:szCs w:val="21"/>
                                <w:lang w:eastAsia="zh-CN"/>
                              </w:rPr>
                              <w:t>个月，环比下降</w:t>
                            </w:r>
                            <w:r>
                              <w:rPr>
                                <w:rFonts w:ascii="Times New Roman" w:eastAsia="楷体" w:hAnsi="Times New Roman" w:cs="Times New Roman"/>
                                <w:bCs/>
                                <w:iCs/>
                                <w:color w:val="000000" w:themeColor="text1"/>
                                <w:sz w:val="21"/>
                                <w:szCs w:val="21"/>
                                <w:lang w:eastAsia="zh-CN"/>
                              </w:rPr>
                              <w:t>10</w:t>
                            </w:r>
                            <w:r w:rsidRPr="00126E38">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w:t>
                            </w:r>
                          </w:p>
                          <w:p w14:paraId="1102033B" w14:textId="4DCDC347" w:rsidR="00307227" w:rsidRPr="00243574" w:rsidRDefault="00307227" w:rsidP="00290882">
                            <w:pPr>
                              <w:pStyle w:val="a5"/>
                              <w:spacing w:after="120"/>
                              <w:jc w:val="both"/>
                              <w:rPr>
                                <w:rFonts w:ascii="Times New Roman" w:eastAsia="楷体" w:hAnsi="Times New Roman" w:cs="Times New Roman"/>
                                <w:bCs/>
                                <w:iCs/>
                                <w:color w:val="000000" w:themeColor="text1"/>
                                <w:sz w:val="21"/>
                                <w:szCs w:val="21"/>
                                <w:lang w:eastAsia="zh-CN"/>
                              </w:rPr>
                            </w:pPr>
                            <w:r w:rsidRPr="00265EEF">
                              <w:rPr>
                                <w:rFonts w:ascii="Times New Roman" w:eastAsia="楷体" w:hAnsi="Times New Roman" w:cs="Times New Roman" w:hint="eastAsia"/>
                                <w:bCs/>
                                <w:iCs/>
                                <w:color w:val="000000" w:themeColor="text1"/>
                                <w:sz w:val="21"/>
                                <w:szCs w:val="21"/>
                                <w:lang w:eastAsia="zh-CN"/>
                              </w:rPr>
                              <w:t>截至</w:t>
                            </w:r>
                            <w:r>
                              <w:rPr>
                                <w:rFonts w:ascii="Times New Roman" w:eastAsia="楷体" w:hAnsi="Times New Roman" w:cs="Times New Roman"/>
                                <w:bCs/>
                                <w:iCs/>
                                <w:color w:val="000000" w:themeColor="text1"/>
                                <w:sz w:val="21"/>
                                <w:szCs w:val="21"/>
                                <w:lang w:eastAsia="zh-CN"/>
                              </w:rPr>
                              <w:t>4</w:t>
                            </w:r>
                            <w:r w:rsidRPr="00265EEF">
                              <w:rPr>
                                <w:rFonts w:ascii="Times New Roman" w:eastAsia="楷体" w:hAnsi="Times New Roman" w:cs="Times New Roman" w:hint="eastAsia"/>
                                <w:bCs/>
                                <w:iCs/>
                                <w:color w:val="000000" w:themeColor="text1"/>
                                <w:sz w:val="21"/>
                                <w:szCs w:val="21"/>
                                <w:lang w:eastAsia="zh-CN"/>
                              </w:rPr>
                              <w:t>月</w:t>
                            </w:r>
                            <w:r>
                              <w:rPr>
                                <w:rFonts w:ascii="Times New Roman" w:eastAsia="楷体" w:hAnsi="Times New Roman" w:cs="Times New Roman"/>
                                <w:bCs/>
                                <w:iCs/>
                                <w:color w:val="000000" w:themeColor="text1"/>
                                <w:sz w:val="21"/>
                                <w:szCs w:val="21"/>
                                <w:lang w:eastAsia="zh-CN"/>
                              </w:rPr>
                              <w:t>3</w:t>
                            </w:r>
                            <w:r w:rsidRPr="00265EEF">
                              <w:rPr>
                                <w:rFonts w:ascii="Times New Roman" w:eastAsia="楷体" w:hAnsi="Times New Roman" w:cs="Times New Roman" w:hint="eastAsia"/>
                                <w:bCs/>
                                <w:iCs/>
                                <w:color w:val="000000" w:themeColor="text1"/>
                                <w:sz w:val="21"/>
                                <w:szCs w:val="21"/>
                                <w:lang w:eastAsia="zh-CN"/>
                              </w:rPr>
                              <w:t>日，</w:t>
                            </w:r>
                            <w:r>
                              <w:rPr>
                                <w:rFonts w:ascii="Times New Roman" w:eastAsia="楷体" w:hAnsi="Times New Roman" w:cs="Times New Roman" w:hint="eastAsia"/>
                                <w:bCs/>
                                <w:iCs/>
                                <w:color w:val="000000" w:themeColor="text1"/>
                                <w:sz w:val="21"/>
                                <w:szCs w:val="21"/>
                                <w:lang w:eastAsia="zh-CN"/>
                              </w:rPr>
                              <w:t>本</w:t>
                            </w:r>
                            <w:r w:rsidRPr="00460EAD">
                              <w:rPr>
                                <w:rFonts w:ascii="Times New Roman" w:eastAsia="楷体" w:hAnsi="Times New Roman" w:cs="Times New Roman" w:hint="eastAsia"/>
                                <w:bCs/>
                                <w:iCs/>
                                <w:color w:val="000000" w:themeColor="text1"/>
                                <w:sz w:val="21"/>
                                <w:szCs w:val="21"/>
                                <w:lang w:eastAsia="zh-CN"/>
                              </w:rPr>
                              <w:t>周</w:t>
                            </w:r>
                            <w:r w:rsidRPr="00243574">
                              <w:rPr>
                                <w:rFonts w:ascii="Times New Roman" w:eastAsia="楷体" w:hAnsi="Times New Roman" w:cs="Times New Roman"/>
                                <w:bCs/>
                                <w:iCs/>
                                <w:color w:val="000000" w:themeColor="text1"/>
                                <w:sz w:val="21"/>
                                <w:szCs w:val="21"/>
                                <w:lang w:eastAsia="zh-CN"/>
                              </w:rPr>
                              <w:t>1</w:t>
                            </w:r>
                            <w:r>
                              <w:rPr>
                                <w:rFonts w:ascii="Times New Roman" w:eastAsia="楷体" w:hAnsi="Times New Roman" w:cs="Times New Roman"/>
                                <w:bCs/>
                                <w:iCs/>
                                <w:color w:val="000000" w:themeColor="text1"/>
                                <w:sz w:val="21"/>
                                <w:szCs w:val="21"/>
                                <w:lang w:eastAsia="zh-CN"/>
                              </w:rPr>
                              <w:t>5</w:t>
                            </w:r>
                            <w:r w:rsidRPr="00243574">
                              <w:rPr>
                                <w:rFonts w:ascii="Times New Roman" w:eastAsia="楷体" w:hAnsi="Times New Roman" w:cs="Times New Roman"/>
                                <w:bCs/>
                                <w:iCs/>
                                <w:color w:val="000000" w:themeColor="text1"/>
                                <w:sz w:val="21"/>
                                <w:szCs w:val="21"/>
                                <w:lang w:eastAsia="zh-CN"/>
                              </w:rPr>
                              <w:t>个主要城市二手房</w:t>
                            </w:r>
                            <w:proofErr w:type="gramStart"/>
                            <w:r w:rsidRPr="00243574">
                              <w:rPr>
                                <w:rFonts w:ascii="Times New Roman" w:eastAsia="楷体" w:hAnsi="Times New Roman" w:cs="Times New Roman"/>
                                <w:bCs/>
                                <w:iCs/>
                                <w:color w:val="000000" w:themeColor="text1"/>
                                <w:sz w:val="21"/>
                                <w:szCs w:val="21"/>
                                <w:lang w:eastAsia="zh-CN"/>
                              </w:rPr>
                              <w:t>交易建面环</w:t>
                            </w:r>
                            <w:proofErr w:type="gramEnd"/>
                            <w:r w:rsidRPr="00243574">
                              <w:rPr>
                                <w:rFonts w:ascii="Times New Roman" w:eastAsia="楷体" w:hAnsi="Times New Roman" w:cs="Times New Roman"/>
                                <w:bCs/>
                                <w:iCs/>
                                <w:color w:val="000000" w:themeColor="text1"/>
                                <w:sz w:val="21"/>
                                <w:szCs w:val="21"/>
                                <w:lang w:eastAsia="zh-CN"/>
                              </w:rPr>
                              <w:t>比</w:t>
                            </w:r>
                            <w:r>
                              <w:rPr>
                                <w:rFonts w:ascii="Times New Roman" w:eastAsia="楷体" w:hAnsi="Times New Roman" w:cs="Times New Roman" w:hint="eastAsia"/>
                                <w:bCs/>
                                <w:iCs/>
                                <w:color w:val="000000" w:themeColor="text1"/>
                                <w:sz w:val="21"/>
                                <w:szCs w:val="21"/>
                                <w:lang w:eastAsia="zh-CN"/>
                              </w:rPr>
                              <w:t>下降</w:t>
                            </w:r>
                            <w:r>
                              <w:rPr>
                                <w:rFonts w:ascii="Times New Roman" w:eastAsia="楷体" w:hAnsi="Times New Roman" w:cs="Times New Roman" w:hint="eastAsia"/>
                                <w:bCs/>
                                <w:iCs/>
                                <w:color w:val="000000" w:themeColor="text1"/>
                                <w:sz w:val="21"/>
                                <w:szCs w:val="21"/>
                                <w:lang w:eastAsia="zh-CN"/>
                              </w:rPr>
                              <w:t>2</w:t>
                            </w:r>
                            <w:r w:rsidRPr="00126E38">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2020</w:t>
                            </w:r>
                            <w:r w:rsidRPr="00243574">
                              <w:rPr>
                                <w:rFonts w:ascii="Times New Roman" w:eastAsia="楷体" w:hAnsi="Times New Roman" w:cs="Times New Roman"/>
                                <w:bCs/>
                                <w:iCs/>
                                <w:color w:val="000000" w:themeColor="text1"/>
                                <w:sz w:val="21"/>
                                <w:szCs w:val="21"/>
                                <w:lang w:eastAsia="zh-CN"/>
                              </w:rPr>
                              <w:t>年累计交易面积同比</w:t>
                            </w:r>
                            <w:r w:rsidRPr="00126E38">
                              <w:rPr>
                                <w:rFonts w:ascii="Times New Roman" w:eastAsia="楷体" w:hAnsi="Times New Roman" w:cs="Times New Roman"/>
                                <w:bCs/>
                                <w:iCs/>
                                <w:color w:val="000000" w:themeColor="text1"/>
                                <w:sz w:val="21"/>
                                <w:szCs w:val="21"/>
                                <w:lang w:eastAsia="zh-CN"/>
                              </w:rPr>
                              <w:t>下降</w:t>
                            </w:r>
                            <w:r>
                              <w:rPr>
                                <w:rFonts w:ascii="Times New Roman" w:eastAsia="楷体" w:hAnsi="Times New Roman" w:cs="Times New Roman"/>
                                <w:bCs/>
                                <w:iCs/>
                                <w:color w:val="000000" w:themeColor="text1"/>
                                <w:sz w:val="21"/>
                                <w:szCs w:val="21"/>
                                <w:lang w:eastAsia="zh-CN"/>
                              </w:rPr>
                              <w:t>27</w:t>
                            </w:r>
                            <w:r w:rsidRPr="00126E38">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w:t>
                            </w:r>
                          </w:p>
                          <w:p w14:paraId="1542A19D" w14:textId="1919C4D6" w:rsidR="00307227" w:rsidRDefault="00307227" w:rsidP="00290882">
                            <w:pPr>
                              <w:pStyle w:val="a5"/>
                              <w:spacing w:after="120"/>
                              <w:jc w:val="both"/>
                              <w:rPr>
                                <w:rFonts w:ascii="Times New Roman" w:eastAsia="楷体" w:hAnsi="Times New Roman" w:cs="Aharoni"/>
                                <w:b/>
                                <w:i/>
                                <w:color w:val="FF0000"/>
                                <w:sz w:val="21"/>
                                <w:szCs w:val="21"/>
                                <w:lang w:eastAsia="zh-CN"/>
                              </w:rPr>
                            </w:pPr>
                            <w:r w:rsidRPr="00581B39">
                              <w:rPr>
                                <w:rFonts w:ascii="Times New Roman" w:eastAsia="楷体" w:hAnsi="Times New Roman" w:cs="Aharoni"/>
                                <w:b/>
                                <w:i/>
                                <w:color w:val="FF0000"/>
                                <w:sz w:val="21"/>
                                <w:szCs w:val="21"/>
                                <w:lang w:eastAsia="zh-CN"/>
                              </w:rPr>
                              <w:t>投资建议</w:t>
                            </w:r>
                            <w:r w:rsidRPr="00581B39">
                              <w:rPr>
                                <w:rFonts w:ascii="Times New Roman" w:eastAsia="楷体" w:hAnsi="Times New Roman" w:cs="Aharoni"/>
                                <w:b/>
                                <w:i/>
                                <w:color w:val="FF0000"/>
                                <w:sz w:val="21"/>
                                <w:szCs w:val="21"/>
                                <w:lang w:eastAsia="zh-CN"/>
                              </w:rPr>
                              <w:t>:</w:t>
                            </w:r>
                          </w:p>
                          <w:p w14:paraId="0CA10D3A" w14:textId="475FD954" w:rsidR="00307227" w:rsidRPr="00495211" w:rsidRDefault="00307227" w:rsidP="00290882">
                            <w:pPr>
                              <w:pStyle w:val="a5"/>
                              <w:spacing w:after="120"/>
                              <w:jc w:val="both"/>
                              <w:rPr>
                                <w:rFonts w:ascii="Times New Roman" w:eastAsia="楷体" w:hAnsi="Times New Roman" w:cs="Aharoni"/>
                                <w:bCs/>
                                <w:iCs/>
                                <w:color w:val="000000" w:themeColor="text1"/>
                                <w:sz w:val="21"/>
                                <w:szCs w:val="21"/>
                                <w:lang w:eastAsia="zh-CN"/>
                              </w:rPr>
                            </w:pPr>
                            <w:r w:rsidRPr="00495211">
                              <w:rPr>
                                <w:rFonts w:ascii="Times New Roman" w:eastAsia="楷体" w:hAnsi="Times New Roman" w:cs="Aharoni" w:hint="eastAsia"/>
                                <w:bCs/>
                                <w:iCs/>
                                <w:color w:val="000000" w:themeColor="text1"/>
                                <w:sz w:val="21"/>
                                <w:szCs w:val="21"/>
                                <w:lang w:eastAsia="zh-CN"/>
                              </w:rPr>
                              <w:t>本周</w:t>
                            </w:r>
                            <w:r>
                              <w:rPr>
                                <w:rFonts w:ascii="Times New Roman" w:eastAsia="楷体" w:hAnsi="Times New Roman" w:cs="Aharoni" w:hint="eastAsia"/>
                                <w:bCs/>
                                <w:iCs/>
                                <w:color w:val="000000" w:themeColor="text1"/>
                                <w:sz w:val="21"/>
                                <w:szCs w:val="21"/>
                                <w:lang w:eastAsia="zh-CN"/>
                              </w:rPr>
                              <w:t>，复工复产加速推进，中央层面降低逆回购利率，</w:t>
                            </w:r>
                            <w:proofErr w:type="gramStart"/>
                            <w:r>
                              <w:rPr>
                                <w:rFonts w:ascii="Times New Roman" w:eastAsia="楷体" w:hAnsi="Times New Roman" w:cs="Aharoni" w:hint="eastAsia"/>
                                <w:bCs/>
                                <w:iCs/>
                                <w:color w:val="000000" w:themeColor="text1"/>
                                <w:sz w:val="21"/>
                                <w:szCs w:val="21"/>
                                <w:lang w:eastAsia="zh-CN"/>
                              </w:rPr>
                              <w:t>降准预期</w:t>
                            </w:r>
                            <w:proofErr w:type="gramEnd"/>
                            <w:r>
                              <w:rPr>
                                <w:rFonts w:ascii="Times New Roman" w:eastAsia="楷体" w:hAnsi="Times New Roman" w:cs="Aharoni" w:hint="eastAsia"/>
                                <w:bCs/>
                                <w:iCs/>
                                <w:color w:val="000000" w:themeColor="text1"/>
                                <w:sz w:val="21"/>
                                <w:szCs w:val="21"/>
                                <w:lang w:eastAsia="zh-CN"/>
                              </w:rPr>
                              <w:t>持续，市场流动性得到支持。地方层面，长三角地区作为中国经济的一大增长极，一体化区域协同、金融支持等相关政策有序出台，在一定程度上体现了中央</w:t>
                            </w:r>
                            <w:proofErr w:type="gramStart"/>
                            <w:r>
                              <w:rPr>
                                <w:rFonts w:ascii="Times New Roman" w:eastAsia="楷体" w:hAnsi="Times New Roman" w:cs="Aharoni" w:hint="eastAsia"/>
                                <w:bCs/>
                                <w:iCs/>
                                <w:color w:val="000000" w:themeColor="text1"/>
                                <w:sz w:val="21"/>
                                <w:szCs w:val="21"/>
                                <w:lang w:eastAsia="zh-CN"/>
                              </w:rPr>
                              <w:t>稳增长</w:t>
                            </w:r>
                            <w:proofErr w:type="gramEnd"/>
                            <w:r>
                              <w:rPr>
                                <w:rFonts w:ascii="Times New Roman" w:eastAsia="楷体" w:hAnsi="Times New Roman" w:cs="Aharoni" w:hint="eastAsia"/>
                                <w:bCs/>
                                <w:iCs/>
                                <w:color w:val="000000" w:themeColor="text1"/>
                                <w:sz w:val="21"/>
                                <w:szCs w:val="21"/>
                                <w:lang w:eastAsia="zh-CN"/>
                              </w:rPr>
                              <w:t>的决心。行业方面，本周房企继续公布</w:t>
                            </w:r>
                            <w:r>
                              <w:rPr>
                                <w:rFonts w:ascii="Times New Roman" w:eastAsia="楷体" w:hAnsi="Times New Roman" w:cs="Aharoni" w:hint="eastAsia"/>
                                <w:bCs/>
                                <w:iCs/>
                                <w:color w:val="000000" w:themeColor="text1"/>
                                <w:sz w:val="21"/>
                                <w:szCs w:val="21"/>
                                <w:lang w:eastAsia="zh-CN"/>
                              </w:rPr>
                              <w:t>2</w:t>
                            </w:r>
                            <w:r>
                              <w:rPr>
                                <w:rFonts w:ascii="Times New Roman" w:eastAsia="楷体" w:hAnsi="Times New Roman" w:cs="Aharoni"/>
                                <w:bCs/>
                                <w:iCs/>
                                <w:color w:val="000000" w:themeColor="text1"/>
                                <w:sz w:val="21"/>
                                <w:szCs w:val="21"/>
                                <w:lang w:eastAsia="zh-CN"/>
                              </w:rPr>
                              <w:t>019</w:t>
                            </w:r>
                            <w:r>
                              <w:rPr>
                                <w:rFonts w:ascii="Times New Roman" w:eastAsia="楷体" w:hAnsi="Times New Roman" w:cs="Aharoni"/>
                                <w:bCs/>
                                <w:iCs/>
                                <w:color w:val="000000" w:themeColor="text1"/>
                                <w:sz w:val="21"/>
                                <w:szCs w:val="21"/>
                                <w:lang w:eastAsia="zh-CN"/>
                              </w:rPr>
                              <w:t>年度</w:t>
                            </w:r>
                            <w:r>
                              <w:rPr>
                                <w:rFonts w:ascii="Times New Roman" w:eastAsia="楷体" w:hAnsi="Times New Roman" w:cs="Aharoni" w:hint="eastAsia"/>
                                <w:bCs/>
                                <w:iCs/>
                                <w:color w:val="000000" w:themeColor="text1"/>
                                <w:sz w:val="21"/>
                                <w:szCs w:val="21"/>
                                <w:lang w:eastAsia="zh-CN"/>
                              </w:rPr>
                              <w:t>业绩，部分业绩亮眼的公司为板块表现提供了一定支持，同时</w:t>
                            </w:r>
                            <w:r>
                              <w:rPr>
                                <w:rFonts w:ascii="Times New Roman" w:eastAsia="楷体" w:hAnsi="Times New Roman" w:cs="Aharoni" w:hint="eastAsia"/>
                                <w:bCs/>
                                <w:iCs/>
                                <w:color w:val="000000" w:themeColor="text1"/>
                                <w:sz w:val="21"/>
                                <w:szCs w:val="21"/>
                                <w:lang w:eastAsia="zh-CN"/>
                              </w:rPr>
                              <w:t>3</w:t>
                            </w:r>
                            <w:r>
                              <w:rPr>
                                <w:rFonts w:ascii="Times New Roman" w:eastAsia="楷体" w:hAnsi="Times New Roman" w:cs="Aharoni"/>
                                <w:bCs/>
                                <w:iCs/>
                                <w:color w:val="000000" w:themeColor="text1"/>
                                <w:sz w:val="21"/>
                                <w:szCs w:val="21"/>
                                <w:lang w:eastAsia="zh-CN"/>
                              </w:rPr>
                              <w:t>月</w:t>
                            </w:r>
                            <w:r>
                              <w:rPr>
                                <w:rFonts w:ascii="Times New Roman" w:eastAsia="楷体" w:hAnsi="Times New Roman" w:cs="Aharoni" w:hint="eastAsia"/>
                                <w:bCs/>
                                <w:iCs/>
                                <w:color w:val="000000" w:themeColor="text1"/>
                                <w:sz w:val="21"/>
                                <w:szCs w:val="21"/>
                                <w:lang w:eastAsia="zh-CN"/>
                              </w:rPr>
                              <w:t>销售数据明显回暖，预计</w:t>
                            </w:r>
                            <w:r>
                              <w:rPr>
                                <w:rFonts w:ascii="Times New Roman" w:eastAsia="楷体" w:hAnsi="Times New Roman" w:cs="Aharoni" w:hint="eastAsia"/>
                                <w:bCs/>
                                <w:iCs/>
                                <w:color w:val="000000" w:themeColor="text1"/>
                                <w:sz w:val="21"/>
                                <w:szCs w:val="21"/>
                                <w:lang w:eastAsia="zh-CN"/>
                              </w:rPr>
                              <w:t>4</w:t>
                            </w:r>
                            <w:r>
                              <w:rPr>
                                <w:rFonts w:ascii="Times New Roman" w:eastAsia="楷体" w:hAnsi="Times New Roman" w:cs="Aharoni"/>
                                <w:bCs/>
                                <w:iCs/>
                                <w:color w:val="000000" w:themeColor="text1"/>
                                <w:sz w:val="21"/>
                                <w:szCs w:val="21"/>
                                <w:lang w:eastAsia="zh-CN"/>
                              </w:rPr>
                              <w:t>月</w:t>
                            </w:r>
                            <w:r>
                              <w:rPr>
                                <w:rFonts w:ascii="Times New Roman" w:eastAsia="楷体" w:hAnsi="Times New Roman" w:cs="Aharoni" w:hint="eastAsia"/>
                                <w:bCs/>
                                <w:iCs/>
                                <w:color w:val="000000" w:themeColor="text1"/>
                                <w:sz w:val="21"/>
                                <w:szCs w:val="21"/>
                                <w:lang w:eastAsia="zh-CN"/>
                              </w:rPr>
                              <w:t>行业基本面将持续改善。维持行业“强于大市”评级。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2A38A" id="文本框 9" o:spid="_x0000_s1032" type="#_x0000_t202" style="position:absolute;left:0;text-align:left;margin-left:.95pt;margin-top:2.1pt;width:373.5pt;height:55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" fillcolor="white [3212]" stroked="f" strokeweight=".5pt">
                <v:textbox>
                  <w:txbxContent>
                    <w:p w14:paraId="468F1E8A" w14:textId="4EF112A7" w:rsidR="00307227" w:rsidRDefault="00307227" w:rsidP="00290882">
                      <w:pPr>
                        <w:pStyle w:val="a5"/>
                        <w:spacing w:after="120"/>
                        <w:jc w:val="both"/>
                        <w:rPr>
                          <w:rFonts w:ascii="Times New Roman" w:eastAsia="楷体" w:hAnsi="Times New Roman" w:cs="Aharoni"/>
                          <w:b/>
                          <w:i/>
                          <w:color w:val="FF0000"/>
                          <w:sz w:val="21"/>
                          <w:szCs w:val="21"/>
                          <w:lang w:eastAsia="zh-CN"/>
                        </w:rPr>
                      </w:pPr>
                      <w:r>
                        <w:rPr>
                          <w:rFonts w:ascii="Times New Roman" w:eastAsia="楷体" w:hAnsi="Times New Roman" w:cs="Aharoni" w:hint="eastAsia"/>
                          <w:b/>
                          <w:i/>
                          <w:color w:val="FF0000"/>
                          <w:sz w:val="21"/>
                          <w:szCs w:val="21"/>
                          <w:lang w:eastAsia="zh-CN"/>
                        </w:rPr>
                        <w:t>事件评论</w:t>
                      </w:r>
                      <w:r w:rsidRPr="004C0E84">
                        <w:rPr>
                          <w:rFonts w:ascii="Times New Roman" w:eastAsia="楷体" w:hAnsi="Times New Roman" w:cs="Aharoni" w:hint="eastAsia"/>
                          <w:b/>
                          <w:i/>
                          <w:color w:val="FF0000"/>
                          <w:sz w:val="21"/>
                          <w:szCs w:val="21"/>
                          <w:lang w:eastAsia="zh-CN"/>
                        </w:rPr>
                        <w:t>：</w:t>
                      </w:r>
                    </w:p>
                    <w:p w14:paraId="17B612EF" w14:textId="41DC8896" w:rsidR="00307227" w:rsidRDefault="00307227" w:rsidP="00290882">
                      <w:pPr>
                        <w:pStyle w:val="a5"/>
                        <w:spacing w:after="120"/>
                        <w:jc w:val="both"/>
                        <w:rPr>
                          <w:rFonts w:ascii="Times New Roman" w:eastAsia="楷体" w:hAnsi="Times New Roman" w:cs="Aharoni"/>
                          <w:b/>
                          <w:iCs/>
                          <w:sz w:val="21"/>
                          <w:szCs w:val="21"/>
                          <w:lang w:eastAsia="zh-CN"/>
                        </w:rPr>
                      </w:pPr>
                      <w:r>
                        <w:rPr>
                          <w:rFonts w:ascii="Times New Roman" w:eastAsia="楷体" w:hAnsi="Times New Roman" w:cs="Aharoni" w:hint="eastAsia"/>
                          <w:b/>
                          <w:iCs/>
                          <w:sz w:val="21"/>
                          <w:szCs w:val="21"/>
                          <w:lang w:eastAsia="zh-CN"/>
                        </w:rPr>
                        <w:t>老旧小区改造市场空间较大，推算截至</w:t>
                      </w:r>
                      <w:r>
                        <w:rPr>
                          <w:rFonts w:ascii="Times New Roman" w:eastAsia="楷体" w:hAnsi="Times New Roman" w:cs="Aharoni" w:hint="eastAsia"/>
                          <w:b/>
                          <w:iCs/>
                          <w:sz w:val="21"/>
                          <w:szCs w:val="21"/>
                          <w:lang w:eastAsia="zh-CN"/>
                        </w:rPr>
                        <w:t>2</w:t>
                      </w:r>
                      <w:r>
                        <w:rPr>
                          <w:rFonts w:ascii="Times New Roman" w:eastAsia="楷体" w:hAnsi="Times New Roman" w:cs="Aharoni"/>
                          <w:b/>
                          <w:iCs/>
                          <w:sz w:val="21"/>
                          <w:szCs w:val="21"/>
                          <w:lang w:eastAsia="zh-CN"/>
                        </w:rPr>
                        <w:t>019</w:t>
                      </w:r>
                      <w:r>
                        <w:rPr>
                          <w:rFonts w:ascii="Times New Roman" w:eastAsia="楷体" w:hAnsi="Times New Roman" w:cs="Aharoni"/>
                          <w:b/>
                          <w:iCs/>
                          <w:sz w:val="21"/>
                          <w:szCs w:val="21"/>
                          <w:lang w:eastAsia="zh-CN"/>
                        </w:rPr>
                        <w:t>年末</w:t>
                      </w:r>
                      <w:r>
                        <w:rPr>
                          <w:rFonts w:ascii="Times New Roman" w:eastAsia="楷体" w:hAnsi="Times New Roman" w:cs="Aharoni" w:hint="eastAsia"/>
                          <w:b/>
                          <w:iCs/>
                          <w:sz w:val="21"/>
                          <w:szCs w:val="21"/>
                          <w:lang w:eastAsia="zh-CN"/>
                        </w:rPr>
                        <w:t>，</w:t>
                      </w:r>
                      <w:r>
                        <w:rPr>
                          <w:rFonts w:ascii="Times New Roman" w:eastAsia="楷体" w:hAnsi="Times New Roman" w:cs="Aharoni"/>
                          <w:b/>
                          <w:iCs/>
                          <w:sz w:val="21"/>
                          <w:szCs w:val="21"/>
                          <w:lang w:eastAsia="zh-CN"/>
                        </w:rPr>
                        <w:t>老旧小区未来</w:t>
                      </w:r>
                      <w:r>
                        <w:rPr>
                          <w:rFonts w:ascii="Times New Roman" w:eastAsia="楷体" w:hAnsi="Times New Roman" w:cs="Aharoni" w:hint="eastAsia"/>
                          <w:b/>
                          <w:iCs/>
                          <w:sz w:val="21"/>
                          <w:szCs w:val="21"/>
                          <w:lang w:eastAsia="zh-CN"/>
                        </w:rPr>
                        <w:t>进行改造的总投资额大于</w:t>
                      </w:r>
                      <w:r>
                        <w:rPr>
                          <w:rFonts w:ascii="Times New Roman" w:eastAsia="楷体" w:hAnsi="Times New Roman" w:cs="Aharoni"/>
                          <w:b/>
                          <w:iCs/>
                          <w:sz w:val="21"/>
                          <w:szCs w:val="21"/>
                          <w:lang w:eastAsia="zh-CN"/>
                        </w:rPr>
                        <w:t>6</w:t>
                      </w:r>
                      <w:proofErr w:type="gramStart"/>
                      <w:r>
                        <w:rPr>
                          <w:rFonts w:ascii="Times New Roman" w:eastAsia="楷体" w:hAnsi="Times New Roman" w:cs="Aharoni"/>
                          <w:b/>
                          <w:iCs/>
                          <w:sz w:val="21"/>
                          <w:szCs w:val="21"/>
                          <w:lang w:eastAsia="zh-CN"/>
                        </w:rPr>
                        <w:t>万亿</w:t>
                      </w:r>
                      <w:proofErr w:type="gramEnd"/>
                      <w:r>
                        <w:rPr>
                          <w:rFonts w:ascii="Times New Roman" w:eastAsia="楷体" w:hAnsi="Times New Roman" w:cs="Aharoni"/>
                          <w:b/>
                          <w:iCs/>
                          <w:sz w:val="21"/>
                          <w:szCs w:val="21"/>
                          <w:lang w:eastAsia="zh-CN"/>
                        </w:rPr>
                        <w:t>元</w:t>
                      </w:r>
                      <w:r w:rsidRPr="002F253A">
                        <w:rPr>
                          <w:rFonts w:ascii="Times New Roman" w:eastAsia="楷体" w:hAnsi="Times New Roman" w:cs="Aharoni" w:hint="eastAsia"/>
                          <w:b/>
                          <w:iCs/>
                          <w:sz w:val="21"/>
                          <w:szCs w:val="21"/>
                          <w:lang w:eastAsia="zh-CN"/>
                        </w:rPr>
                        <w:t>。</w:t>
                      </w:r>
                      <w:r w:rsidRPr="00615EEA">
                        <w:rPr>
                          <w:rFonts w:ascii="Times New Roman" w:eastAsia="楷体" w:hAnsi="Times New Roman" w:cs="Aharoni" w:hint="eastAsia"/>
                          <w:bCs/>
                          <w:iCs/>
                          <w:sz w:val="21"/>
                          <w:szCs w:val="21"/>
                          <w:lang w:eastAsia="zh-CN"/>
                        </w:rPr>
                        <w:t>老旧小区改造</w:t>
                      </w:r>
                      <w:r>
                        <w:rPr>
                          <w:rFonts w:ascii="Times New Roman" w:eastAsia="楷体" w:hAnsi="Times New Roman" w:cs="Aharoni" w:hint="eastAsia"/>
                          <w:bCs/>
                          <w:iCs/>
                          <w:sz w:val="21"/>
                          <w:szCs w:val="21"/>
                          <w:lang w:eastAsia="zh-CN"/>
                        </w:rPr>
                        <w:t>指对</w:t>
                      </w:r>
                      <w:r>
                        <w:rPr>
                          <w:rFonts w:ascii="Times New Roman" w:eastAsia="楷体" w:hAnsi="Times New Roman" w:cs="Aharoni"/>
                          <w:bCs/>
                          <w:iCs/>
                          <w:sz w:val="21"/>
                          <w:szCs w:val="21"/>
                          <w:lang w:eastAsia="zh-CN"/>
                        </w:rPr>
                        <w:t>建成于</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000</w:t>
                      </w:r>
                      <w:r>
                        <w:rPr>
                          <w:rFonts w:ascii="Times New Roman" w:eastAsia="楷体" w:hAnsi="Times New Roman" w:cs="Aharoni"/>
                          <w:bCs/>
                          <w:iCs/>
                          <w:sz w:val="21"/>
                          <w:szCs w:val="21"/>
                          <w:lang w:eastAsia="zh-CN"/>
                        </w:rPr>
                        <w:t>年</w:t>
                      </w:r>
                      <w:r>
                        <w:rPr>
                          <w:rFonts w:ascii="Times New Roman" w:eastAsia="楷体" w:hAnsi="Times New Roman" w:cs="Aharoni" w:hint="eastAsia"/>
                          <w:bCs/>
                          <w:iCs/>
                          <w:sz w:val="21"/>
                          <w:szCs w:val="21"/>
                          <w:lang w:eastAsia="zh-CN"/>
                        </w:rPr>
                        <w:t>以前的缺乏配套设施的住宅小区进行改造，包含</w:t>
                      </w:r>
                      <w:proofErr w:type="gramStart"/>
                      <w:r>
                        <w:rPr>
                          <w:rFonts w:ascii="Times New Roman" w:eastAsia="楷体" w:hAnsi="Times New Roman" w:cs="Aharoni" w:hint="eastAsia"/>
                          <w:bCs/>
                          <w:iCs/>
                          <w:sz w:val="21"/>
                          <w:szCs w:val="21"/>
                          <w:lang w:eastAsia="zh-CN"/>
                        </w:rPr>
                        <w:t>更新</w:t>
                      </w:r>
                      <w:r w:rsidRPr="00615EEA">
                        <w:rPr>
                          <w:rFonts w:ascii="Times New Roman" w:eastAsia="楷体" w:hAnsi="Times New Roman" w:cs="Aharoni" w:hint="eastAsia"/>
                          <w:bCs/>
                          <w:iCs/>
                          <w:sz w:val="21"/>
                          <w:szCs w:val="21"/>
                          <w:lang w:eastAsia="zh-CN"/>
                        </w:rPr>
                        <w:t>水</w:t>
                      </w:r>
                      <w:proofErr w:type="gramEnd"/>
                      <w:r w:rsidRPr="00615EEA">
                        <w:rPr>
                          <w:rFonts w:ascii="Times New Roman" w:eastAsia="楷体" w:hAnsi="Times New Roman" w:cs="Aharoni" w:hint="eastAsia"/>
                          <w:bCs/>
                          <w:iCs/>
                          <w:sz w:val="21"/>
                          <w:szCs w:val="21"/>
                          <w:lang w:eastAsia="zh-CN"/>
                        </w:rPr>
                        <w:t>电路气等配套设施，支持加装电梯，健全生活服务设施</w:t>
                      </w:r>
                      <w:r>
                        <w:rPr>
                          <w:rFonts w:ascii="Times New Roman" w:eastAsia="楷体" w:hAnsi="Times New Roman" w:cs="Aharoni" w:hint="eastAsia"/>
                          <w:bCs/>
                          <w:iCs/>
                          <w:sz w:val="21"/>
                          <w:szCs w:val="21"/>
                          <w:lang w:eastAsia="zh-CN"/>
                        </w:rPr>
                        <w:t>等。</w:t>
                      </w:r>
                      <w:r w:rsidRPr="002F253A">
                        <w:rPr>
                          <w:rFonts w:ascii="Times New Roman" w:eastAsia="楷体" w:hAnsi="Times New Roman" w:cs="Aharoni" w:hint="eastAsia"/>
                          <w:bCs/>
                          <w:iCs/>
                          <w:sz w:val="21"/>
                          <w:szCs w:val="21"/>
                          <w:lang w:eastAsia="zh-CN"/>
                        </w:rPr>
                        <w:t>根据第六次人口普查</w:t>
                      </w:r>
                      <w:r>
                        <w:rPr>
                          <w:rFonts w:ascii="Times New Roman" w:eastAsia="楷体" w:hAnsi="Times New Roman" w:cs="Aharoni" w:hint="eastAsia"/>
                          <w:bCs/>
                          <w:iCs/>
                          <w:sz w:val="21"/>
                          <w:szCs w:val="21"/>
                          <w:lang w:eastAsia="zh-CN"/>
                        </w:rPr>
                        <w:t>对</w:t>
                      </w:r>
                      <w:r w:rsidRPr="002F253A">
                        <w:rPr>
                          <w:rFonts w:ascii="Times New Roman" w:eastAsia="楷体" w:hAnsi="Times New Roman" w:cs="Aharoni" w:hint="eastAsia"/>
                          <w:bCs/>
                          <w:iCs/>
                          <w:sz w:val="21"/>
                          <w:szCs w:val="21"/>
                          <w:lang w:eastAsia="zh-CN"/>
                        </w:rPr>
                        <w:t>各地区按住房建成时间分的家庭户住房状况</w:t>
                      </w:r>
                      <w:r>
                        <w:rPr>
                          <w:rFonts w:ascii="Times New Roman" w:eastAsia="楷体" w:hAnsi="Times New Roman" w:cs="Aharoni" w:hint="eastAsia"/>
                          <w:bCs/>
                          <w:iCs/>
                          <w:sz w:val="21"/>
                          <w:szCs w:val="21"/>
                          <w:lang w:eastAsia="zh-CN"/>
                        </w:rPr>
                        <w:t>进行的抽样统计，我们测算</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010</w:t>
                      </w:r>
                      <w:r>
                        <w:rPr>
                          <w:rFonts w:ascii="Times New Roman" w:eastAsia="楷体" w:hAnsi="Times New Roman" w:cs="Aharoni"/>
                          <w:bCs/>
                          <w:iCs/>
                          <w:sz w:val="21"/>
                          <w:szCs w:val="21"/>
                          <w:lang w:eastAsia="zh-CN"/>
                        </w:rPr>
                        <w:t>年年末</w:t>
                      </w:r>
                      <w:r>
                        <w:rPr>
                          <w:rFonts w:ascii="Times New Roman" w:eastAsia="楷体" w:hAnsi="Times New Roman" w:cs="Aharoni" w:hint="eastAsia"/>
                          <w:bCs/>
                          <w:iCs/>
                          <w:sz w:val="21"/>
                          <w:szCs w:val="21"/>
                          <w:lang w:eastAsia="zh-CN"/>
                        </w:rPr>
                        <w:t>，</w:t>
                      </w:r>
                      <w:r w:rsidRPr="002F253A">
                        <w:rPr>
                          <w:rFonts w:ascii="Times New Roman" w:eastAsia="楷体" w:hAnsi="Times New Roman" w:cs="Aharoni" w:hint="eastAsia"/>
                          <w:bCs/>
                          <w:iCs/>
                          <w:sz w:val="21"/>
                          <w:szCs w:val="21"/>
                          <w:lang w:eastAsia="zh-CN"/>
                        </w:rPr>
                        <w:t>2000</w:t>
                      </w:r>
                      <w:r w:rsidRPr="002F253A">
                        <w:rPr>
                          <w:rFonts w:ascii="Times New Roman" w:eastAsia="楷体" w:hAnsi="Times New Roman" w:cs="Aharoni" w:hint="eastAsia"/>
                          <w:bCs/>
                          <w:iCs/>
                          <w:sz w:val="21"/>
                          <w:szCs w:val="21"/>
                          <w:lang w:eastAsia="zh-CN"/>
                        </w:rPr>
                        <w:t>年前建成的城镇住房面积约</w:t>
                      </w:r>
                      <w:r w:rsidRPr="002F253A">
                        <w:rPr>
                          <w:rFonts w:ascii="Times New Roman" w:eastAsia="楷体" w:hAnsi="Times New Roman" w:cs="Aharoni" w:hint="eastAsia"/>
                          <w:bCs/>
                          <w:iCs/>
                          <w:sz w:val="21"/>
                          <w:szCs w:val="21"/>
                          <w:lang w:eastAsia="zh-CN"/>
                        </w:rPr>
                        <w:t>118.8</w:t>
                      </w:r>
                      <w:r w:rsidRPr="002F253A">
                        <w:rPr>
                          <w:rFonts w:ascii="Times New Roman" w:eastAsia="楷体" w:hAnsi="Times New Roman" w:cs="Aharoni" w:hint="eastAsia"/>
                          <w:bCs/>
                          <w:iCs/>
                          <w:sz w:val="21"/>
                          <w:szCs w:val="21"/>
                          <w:lang w:eastAsia="zh-CN"/>
                        </w:rPr>
                        <w:t>亿平方米。</w:t>
                      </w:r>
                      <w:r>
                        <w:rPr>
                          <w:rFonts w:ascii="Times New Roman" w:eastAsia="楷体" w:hAnsi="Times New Roman" w:cs="Aharoni" w:hint="eastAsia"/>
                          <w:bCs/>
                          <w:iCs/>
                          <w:sz w:val="21"/>
                          <w:szCs w:val="21"/>
                          <w:lang w:eastAsia="zh-CN"/>
                        </w:rPr>
                        <w:t>考虑到老旧住宅的拆除，</w:t>
                      </w:r>
                      <w:r w:rsidRPr="002F253A">
                        <w:rPr>
                          <w:rFonts w:ascii="Times New Roman" w:eastAsia="楷体" w:hAnsi="Times New Roman" w:cs="Aharoni" w:hint="eastAsia"/>
                          <w:bCs/>
                          <w:iCs/>
                          <w:sz w:val="21"/>
                          <w:szCs w:val="21"/>
                          <w:lang w:eastAsia="zh-CN"/>
                        </w:rPr>
                        <w:t>我们测算</w:t>
                      </w:r>
                      <w:r w:rsidRPr="002F253A">
                        <w:rPr>
                          <w:rFonts w:ascii="Times New Roman" w:eastAsia="楷体" w:hAnsi="Times New Roman" w:cs="Aharoni" w:hint="eastAsia"/>
                          <w:bCs/>
                          <w:iCs/>
                          <w:sz w:val="21"/>
                          <w:szCs w:val="21"/>
                          <w:lang w:eastAsia="zh-CN"/>
                        </w:rPr>
                        <w:t>2019</w:t>
                      </w:r>
                      <w:r w:rsidRPr="002F253A">
                        <w:rPr>
                          <w:rFonts w:ascii="Times New Roman" w:eastAsia="楷体" w:hAnsi="Times New Roman" w:cs="Aharoni" w:hint="eastAsia"/>
                          <w:bCs/>
                          <w:iCs/>
                          <w:sz w:val="21"/>
                          <w:szCs w:val="21"/>
                          <w:lang w:eastAsia="zh-CN"/>
                        </w:rPr>
                        <w:t>年末，</w:t>
                      </w:r>
                      <w:r w:rsidRPr="002F253A">
                        <w:rPr>
                          <w:rFonts w:ascii="Times New Roman" w:eastAsia="楷体" w:hAnsi="Times New Roman" w:cs="Aharoni" w:hint="eastAsia"/>
                          <w:bCs/>
                          <w:iCs/>
                          <w:sz w:val="21"/>
                          <w:szCs w:val="21"/>
                          <w:lang w:eastAsia="zh-CN"/>
                        </w:rPr>
                        <w:t>2000</w:t>
                      </w:r>
                      <w:r w:rsidRPr="002F253A">
                        <w:rPr>
                          <w:rFonts w:ascii="Times New Roman" w:eastAsia="楷体" w:hAnsi="Times New Roman" w:cs="Aharoni" w:hint="eastAsia"/>
                          <w:bCs/>
                          <w:iCs/>
                          <w:sz w:val="21"/>
                          <w:szCs w:val="21"/>
                          <w:lang w:eastAsia="zh-CN"/>
                        </w:rPr>
                        <w:t>年以前建成城镇住房建筑面积大于</w:t>
                      </w:r>
                      <w:r>
                        <w:rPr>
                          <w:rFonts w:ascii="Times New Roman" w:eastAsia="楷体" w:hAnsi="Times New Roman" w:cs="Aharoni"/>
                          <w:bCs/>
                          <w:iCs/>
                          <w:sz w:val="21"/>
                          <w:szCs w:val="21"/>
                          <w:lang w:eastAsia="zh-CN"/>
                        </w:rPr>
                        <w:t>9</w:t>
                      </w:r>
                      <w:r w:rsidRPr="002F253A">
                        <w:rPr>
                          <w:rFonts w:ascii="Times New Roman" w:eastAsia="楷体" w:hAnsi="Times New Roman" w:cs="Aharoni" w:hint="eastAsia"/>
                          <w:bCs/>
                          <w:iCs/>
                          <w:sz w:val="21"/>
                          <w:szCs w:val="21"/>
                          <w:lang w:eastAsia="zh-CN"/>
                        </w:rPr>
                        <w:t>0</w:t>
                      </w:r>
                      <w:r w:rsidRPr="002F253A">
                        <w:rPr>
                          <w:rFonts w:ascii="Times New Roman" w:eastAsia="楷体" w:hAnsi="Times New Roman" w:cs="Aharoni" w:hint="eastAsia"/>
                          <w:bCs/>
                          <w:iCs/>
                          <w:sz w:val="21"/>
                          <w:szCs w:val="21"/>
                          <w:lang w:eastAsia="zh-CN"/>
                        </w:rPr>
                        <w:t>亿平方米</w:t>
                      </w:r>
                      <w:r>
                        <w:rPr>
                          <w:rFonts w:ascii="Times New Roman" w:eastAsia="楷体" w:hAnsi="Times New Roman" w:cs="Aharoni" w:hint="eastAsia"/>
                          <w:bCs/>
                          <w:iCs/>
                          <w:sz w:val="21"/>
                          <w:szCs w:val="21"/>
                          <w:lang w:eastAsia="zh-CN"/>
                        </w:rPr>
                        <w:t>，需改造老旧小区建筑面积大于</w:t>
                      </w:r>
                      <w:r>
                        <w:rPr>
                          <w:rFonts w:ascii="Times New Roman" w:eastAsia="楷体" w:hAnsi="Times New Roman" w:cs="Aharoni"/>
                          <w:bCs/>
                          <w:iCs/>
                          <w:sz w:val="21"/>
                          <w:szCs w:val="21"/>
                          <w:lang w:eastAsia="zh-CN"/>
                        </w:rPr>
                        <w:t>50</w:t>
                      </w:r>
                      <w:r>
                        <w:rPr>
                          <w:rFonts w:ascii="Times New Roman" w:eastAsia="楷体" w:hAnsi="Times New Roman" w:cs="Aharoni"/>
                          <w:bCs/>
                          <w:iCs/>
                          <w:sz w:val="21"/>
                          <w:szCs w:val="21"/>
                          <w:lang w:eastAsia="zh-CN"/>
                        </w:rPr>
                        <w:t>亿</w:t>
                      </w:r>
                      <w:r>
                        <w:rPr>
                          <w:rFonts w:ascii="Times New Roman" w:eastAsia="楷体" w:hAnsi="Times New Roman" w:cs="Aharoni" w:hint="eastAsia"/>
                          <w:bCs/>
                          <w:iCs/>
                          <w:sz w:val="21"/>
                          <w:szCs w:val="21"/>
                          <w:lang w:eastAsia="zh-CN"/>
                        </w:rPr>
                        <w:t>平方米，未来所需总投资额大于</w:t>
                      </w:r>
                      <w:r>
                        <w:rPr>
                          <w:rFonts w:ascii="Times New Roman" w:eastAsia="楷体" w:hAnsi="Times New Roman" w:cs="Aharoni"/>
                          <w:bCs/>
                          <w:iCs/>
                          <w:sz w:val="21"/>
                          <w:szCs w:val="21"/>
                          <w:lang w:eastAsia="zh-CN"/>
                        </w:rPr>
                        <w:t>6</w:t>
                      </w:r>
                      <w:proofErr w:type="gramStart"/>
                      <w:r>
                        <w:rPr>
                          <w:rFonts w:ascii="Times New Roman" w:eastAsia="楷体" w:hAnsi="Times New Roman" w:cs="Aharoni"/>
                          <w:bCs/>
                          <w:iCs/>
                          <w:sz w:val="21"/>
                          <w:szCs w:val="21"/>
                          <w:lang w:eastAsia="zh-CN"/>
                        </w:rPr>
                        <w:t>万亿</w:t>
                      </w:r>
                      <w:proofErr w:type="gramEnd"/>
                      <w:r>
                        <w:rPr>
                          <w:rFonts w:ascii="Times New Roman" w:eastAsia="楷体" w:hAnsi="Times New Roman" w:cs="Aharoni"/>
                          <w:bCs/>
                          <w:iCs/>
                          <w:sz w:val="21"/>
                          <w:szCs w:val="21"/>
                          <w:lang w:eastAsia="zh-CN"/>
                        </w:rPr>
                        <w:t>元</w:t>
                      </w:r>
                      <w:r>
                        <w:rPr>
                          <w:rFonts w:ascii="Times New Roman" w:eastAsia="楷体" w:hAnsi="Times New Roman" w:cs="Aharoni" w:hint="eastAsia"/>
                          <w:bCs/>
                          <w:iCs/>
                          <w:sz w:val="21"/>
                          <w:szCs w:val="21"/>
                          <w:lang w:eastAsia="zh-CN"/>
                        </w:rPr>
                        <w:t>，市场空间较大。</w:t>
                      </w:r>
                    </w:p>
                    <w:p w14:paraId="11655F1F" w14:textId="2C7B9355" w:rsidR="00307227" w:rsidRDefault="00307227" w:rsidP="00290882">
                      <w:pPr>
                        <w:pStyle w:val="a5"/>
                        <w:spacing w:after="120"/>
                        <w:jc w:val="both"/>
                        <w:rPr>
                          <w:rFonts w:ascii="Times New Roman" w:eastAsia="楷体" w:hAnsi="Times New Roman" w:cs="Aharoni"/>
                          <w:b/>
                          <w:iCs/>
                          <w:sz w:val="21"/>
                          <w:szCs w:val="21"/>
                          <w:lang w:eastAsia="zh-CN"/>
                        </w:rPr>
                      </w:pPr>
                      <w:r>
                        <w:rPr>
                          <w:rFonts w:ascii="Times New Roman" w:eastAsia="楷体" w:hAnsi="Times New Roman" w:cs="Aharoni" w:hint="eastAsia"/>
                          <w:b/>
                          <w:iCs/>
                          <w:sz w:val="21"/>
                          <w:szCs w:val="21"/>
                          <w:lang w:eastAsia="zh-CN"/>
                        </w:rPr>
                        <w:t>老旧小区改造推进速度加快，成为</w:t>
                      </w:r>
                      <w:proofErr w:type="gramStart"/>
                      <w:r>
                        <w:rPr>
                          <w:rFonts w:ascii="Times New Roman" w:eastAsia="楷体" w:hAnsi="Times New Roman" w:cs="Aharoni" w:hint="eastAsia"/>
                          <w:b/>
                          <w:iCs/>
                          <w:sz w:val="21"/>
                          <w:szCs w:val="21"/>
                          <w:lang w:eastAsia="zh-CN"/>
                        </w:rPr>
                        <w:t>稳投资</w:t>
                      </w:r>
                      <w:proofErr w:type="gramEnd"/>
                      <w:r>
                        <w:rPr>
                          <w:rFonts w:ascii="Times New Roman" w:eastAsia="楷体" w:hAnsi="Times New Roman" w:cs="Aharoni" w:hint="eastAsia"/>
                          <w:b/>
                          <w:iCs/>
                          <w:sz w:val="21"/>
                          <w:szCs w:val="21"/>
                          <w:lang w:eastAsia="zh-CN"/>
                        </w:rPr>
                        <w:t>切入点。</w:t>
                      </w:r>
                      <w:r>
                        <w:rPr>
                          <w:rFonts w:ascii="Times New Roman" w:eastAsia="楷体" w:hAnsi="Times New Roman" w:cs="Aharoni" w:hint="eastAsia"/>
                          <w:bCs/>
                          <w:iCs/>
                          <w:sz w:val="21"/>
                          <w:szCs w:val="21"/>
                          <w:lang w:eastAsia="zh-CN"/>
                        </w:rPr>
                        <w:t>老旧小区改造于</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015</w:t>
                      </w:r>
                      <w:r>
                        <w:rPr>
                          <w:rFonts w:ascii="Times New Roman" w:eastAsia="楷体" w:hAnsi="Times New Roman" w:cs="Aharoni"/>
                          <w:bCs/>
                          <w:iCs/>
                          <w:sz w:val="21"/>
                          <w:szCs w:val="21"/>
                          <w:lang w:eastAsia="zh-CN"/>
                        </w:rPr>
                        <w:t>年</w:t>
                      </w:r>
                      <w:r>
                        <w:rPr>
                          <w:rFonts w:ascii="Times New Roman" w:eastAsia="楷体" w:hAnsi="Times New Roman" w:cs="Aharoni" w:hint="eastAsia"/>
                          <w:bCs/>
                          <w:iCs/>
                          <w:sz w:val="21"/>
                          <w:szCs w:val="21"/>
                          <w:lang w:eastAsia="zh-CN"/>
                        </w:rPr>
                        <w:t>出于保民生考虑首次提出，于</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017</w:t>
                      </w:r>
                      <w:r>
                        <w:rPr>
                          <w:rFonts w:ascii="Times New Roman" w:eastAsia="楷体" w:hAnsi="Times New Roman" w:cs="Aharoni"/>
                          <w:bCs/>
                          <w:iCs/>
                          <w:sz w:val="21"/>
                          <w:szCs w:val="21"/>
                          <w:lang w:eastAsia="zh-CN"/>
                        </w:rPr>
                        <w:t>年末</w:t>
                      </w:r>
                      <w:r>
                        <w:rPr>
                          <w:rFonts w:ascii="Times New Roman" w:eastAsia="楷体" w:hAnsi="Times New Roman" w:cs="Aharoni" w:hint="eastAsia"/>
                          <w:bCs/>
                          <w:iCs/>
                          <w:sz w:val="21"/>
                          <w:szCs w:val="21"/>
                          <w:lang w:eastAsia="zh-CN"/>
                        </w:rPr>
                        <w:t>开始试点，</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019</w:t>
                      </w:r>
                      <w:r>
                        <w:rPr>
                          <w:rFonts w:ascii="Times New Roman" w:eastAsia="楷体" w:hAnsi="Times New Roman" w:cs="Aharoni"/>
                          <w:bCs/>
                          <w:iCs/>
                          <w:sz w:val="21"/>
                          <w:szCs w:val="21"/>
                          <w:lang w:eastAsia="zh-CN"/>
                        </w:rPr>
                        <w:t>年</w:t>
                      </w:r>
                      <w:r>
                        <w:rPr>
                          <w:rFonts w:ascii="Times New Roman" w:eastAsia="楷体" w:hAnsi="Times New Roman" w:cs="Aharoni" w:hint="eastAsia"/>
                          <w:bCs/>
                          <w:iCs/>
                          <w:sz w:val="21"/>
                          <w:szCs w:val="21"/>
                          <w:lang w:eastAsia="zh-CN"/>
                        </w:rPr>
                        <w:t>6</w:t>
                      </w:r>
                      <w:r>
                        <w:rPr>
                          <w:rFonts w:ascii="Times New Roman" w:eastAsia="楷体" w:hAnsi="Times New Roman" w:cs="Aharoni" w:hint="eastAsia"/>
                          <w:bCs/>
                          <w:iCs/>
                          <w:sz w:val="21"/>
                          <w:szCs w:val="21"/>
                          <w:lang w:eastAsia="zh-CN"/>
                        </w:rPr>
                        <w:t>月以来，随着棚</w:t>
                      </w:r>
                      <w:proofErr w:type="gramStart"/>
                      <w:r>
                        <w:rPr>
                          <w:rFonts w:ascii="Times New Roman" w:eastAsia="楷体" w:hAnsi="Times New Roman" w:cs="Aharoni" w:hint="eastAsia"/>
                          <w:bCs/>
                          <w:iCs/>
                          <w:sz w:val="21"/>
                          <w:szCs w:val="21"/>
                          <w:lang w:eastAsia="zh-CN"/>
                        </w:rPr>
                        <w:t>改规模</w:t>
                      </w:r>
                      <w:proofErr w:type="gramEnd"/>
                      <w:r>
                        <w:rPr>
                          <w:rFonts w:ascii="Times New Roman" w:eastAsia="楷体" w:hAnsi="Times New Roman" w:cs="Aharoni" w:hint="eastAsia"/>
                          <w:bCs/>
                          <w:iCs/>
                          <w:sz w:val="21"/>
                          <w:szCs w:val="21"/>
                          <w:lang w:eastAsia="zh-CN"/>
                        </w:rPr>
                        <w:t>大幅下降，</w:t>
                      </w:r>
                      <w:r w:rsidRPr="00615EEA">
                        <w:rPr>
                          <w:rFonts w:ascii="Times New Roman" w:eastAsia="楷体" w:hAnsi="Times New Roman" w:cs="Aharoni" w:hint="eastAsia"/>
                          <w:bCs/>
                          <w:iCs/>
                          <w:sz w:val="21"/>
                          <w:szCs w:val="21"/>
                          <w:lang w:eastAsia="zh-CN"/>
                        </w:rPr>
                        <w:t>房地产投资增长动力有所减弱，中央密集出台针对老旧小区改造的推进部署及财政支持政策，以期在维持房地产市场平稳发展的同时，达成</w:t>
                      </w:r>
                      <w:proofErr w:type="gramStart"/>
                      <w:r w:rsidRPr="00615EEA">
                        <w:rPr>
                          <w:rFonts w:ascii="Times New Roman" w:eastAsia="楷体" w:hAnsi="Times New Roman" w:cs="Aharoni" w:hint="eastAsia"/>
                          <w:bCs/>
                          <w:iCs/>
                          <w:sz w:val="21"/>
                          <w:szCs w:val="21"/>
                          <w:lang w:eastAsia="zh-CN"/>
                        </w:rPr>
                        <w:t>稳投资</w:t>
                      </w:r>
                      <w:proofErr w:type="gramEnd"/>
                      <w:r w:rsidRPr="00615EEA">
                        <w:rPr>
                          <w:rFonts w:ascii="Times New Roman" w:eastAsia="楷体" w:hAnsi="Times New Roman" w:cs="Aharoni" w:hint="eastAsia"/>
                          <w:bCs/>
                          <w:iCs/>
                          <w:sz w:val="21"/>
                          <w:szCs w:val="21"/>
                          <w:lang w:eastAsia="zh-CN"/>
                        </w:rPr>
                        <w:t>目标。</w:t>
                      </w:r>
                      <w:r>
                        <w:rPr>
                          <w:rFonts w:ascii="Times New Roman" w:eastAsia="楷体" w:hAnsi="Times New Roman" w:cs="Aharoni" w:hint="eastAsia"/>
                          <w:bCs/>
                          <w:iCs/>
                          <w:sz w:val="21"/>
                          <w:szCs w:val="21"/>
                          <w:lang w:eastAsia="zh-CN"/>
                        </w:rPr>
                        <w:t>2</w:t>
                      </w:r>
                      <w:r>
                        <w:rPr>
                          <w:rFonts w:ascii="Times New Roman" w:eastAsia="楷体" w:hAnsi="Times New Roman" w:cs="Aharoni"/>
                          <w:bCs/>
                          <w:iCs/>
                          <w:sz w:val="21"/>
                          <w:szCs w:val="21"/>
                          <w:lang w:eastAsia="zh-CN"/>
                        </w:rPr>
                        <w:t>020</w:t>
                      </w:r>
                      <w:r>
                        <w:rPr>
                          <w:rFonts w:ascii="Times New Roman" w:eastAsia="楷体" w:hAnsi="Times New Roman" w:cs="Aharoni"/>
                          <w:bCs/>
                          <w:iCs/>
                          <w:sz w:val="21"/>
                          <w:szCs w:val="21"/>
                          <w:lang w:eastAsia="zh-CN"/>
                        </w:rPr>
                        <w:t>年</w:t>
                      </w:r>
                      <w:r>
                        <w:rPr>
                          <w:rFonts w:ascii="Times New Roman" w:eastAsia="楷体" w:hAnsi="Times New Roman" w:cs="Aharoni" w:hint="eastAsia"/>
                          <w:bCs/>
                          <w:iCs/>
                          <w:sz w:val="21"/>
                          <w:szCs w:val="21"/>
                          <w:lang w:eastAsia="zh-CN"/>
                        </w:rPr>
                        <w:t>4</w:t>
                      </w:r>
                      <w:r>
                        <w:rPr>
                          <w:rFonts w:ascii="Times New Roman" w:eastAsia="楷体" w:hAnsi="Times New Roman" w:cs="Aharoni"/>
                          <w:bCs/>
                          <w:iCs/>
                          <w:sz w:val="21"/>
                          <w:szCs w:val="21"/>
                          <w:lang w:eastAsia="zh-CN"/>
                        </w:rPr>
                        <w:t>月</w:t>
                      </w:r>
                      <w:r>
                        <w:rPr>
                          <w:rFonts w:ascii="Times New Roman" w:eastAsia="楷体" w:hAnsi="Times New Roman" w:cs="Aharoni" w:hint="eastAsia"/>
                          <w:bCs/>
                          <w:iCs/>
                          <w:sz w:val="21"/>
                          <w:szCs w:val="21"/>
                          <w:lang w:eastAsia="zh-CN"/>
                        </w:rPr>
                        <w:t>，住建部鼓励房地产开发企业参与老旧小区改造。</w:t>
                      </w:r>
                    </w:p>
                    <w:p w14:paraId="2F2BFF9B" w14:textId="424DAC43" w:rsidR="00307227" w:rsidRPr="002F253A" w:rsidRDefault="00307227" w:rsidP="00290882">
                      <w:pPr>
                        <w:pStyle w:val="a5"/>
                        <w:spacing w:after="120"/>
                        <w:jc w:val="both"/>
                        <w:rPr>
                          <w:rFonts w:ascii="Times New Roman" w:eastAsia="楷体" w:hAnsi="Times New Roman" w:cs="Aharoni"/>
                          <w:b/>
                          <w:iCs/>
                          <w:sz w:val="21"/>
                          <w:szCs w:val="21"/>
                          <w:lang w:eastAsia="zh-CN"/>
                        </w:rPr>
                      </w:pPr>
                      <w:bookmarkStart w:id="1" w:name="_Hlk37026851"/>
                      <w:r>
                        <w:rPr>
                          <w:rFonts w:ascii="Times New Roman" w:eastAsia="楷体" w:hAnsi="Times New Roman" w:cs="Aharoni" w:hint="eastAsia"/>
                          <w:b/>
                          <w:iCs/>
                          <w:sz w:val="21"/>
                          <w:szCs w:val="21"/>
                          <w:lang w:eastAsia="zh-CN"/>
                        </w:rPr>
                        <w:t>参与老旧小区改造将助力房企积累住房更新经验，提升服务及运营能力，在存量住宅时代实现持续发展</w:t>
                      </w:r>
                      <w:r w:rsidRPr="002F253A">
                        <w:rPr>
                          <w:rFonts w:ascii="Times New Roman" w:eastAsia="楷体" w:hAnsi="Times New Roman" w:cs="Aharoni" w:hint="eastAsia"/>
                          <w:b/>
                          <w:iCs/>
                          <w:sz w:val="21"/>
                          <w:szCs w:val="21"/>
                          <w:lang w:eastAsia="zh-CN"/>
                        </w:rPr>
                        <w:t>。</w:t>
                      </w:r>
                      <w:bookmarkEnd w:id="1"/>
                      <w:r w:rsidRPr="000546A7">
                        <w:rPr>
                          <w:rFonts w:ascii="Times New Roman" w:eastAsia="楷体" w:hAnsi="Times New Roman" w:cs="Aharoni"/>
                          <w:bCs/>
                          <w:iCs/>
                          <w:sz w:val="21"/>
                          <w:szCs w:val="21"/>
                          <w:lang w:eastAsia="zh-CN"/>
                        </w:rPr>
                        <w:t>当前</w:t>
                      </w:r>
                      <w:r w:rsidRPr="000546A7">
                        <w:rPr>
                          <w:rFonts w:ascii="Times New Roman" w:eastAsia="楷体" w:hAnsi="Times New Roman" w:cs="Aharoni" w:hint="eastAsia"/>
                          <w:bCs/>
                          <w:iCs/>
                          <w:sz w:val="21"/>
                          <w:szCs w:val="21"/>
                          <w:lang w:eastAsia="zh-CN"/>
                        </w:rPr>
                        <w:t>房</w:t>
                      </w:r>
                      <w:proofErr w:type="gramStart"/>
                      <w:r w:rsidRPr="000546A7">
                        <w:rPr>
                          <w:rFonts w:ascii="Times New Roman" w:eastAsia="楷体" w:hAnsi="Times New Roman" w:cs="Aharoni" w:hint="eastAsia"/>
                          <w:bCs/>
                          <w:iCs/>
                          <w:sz w:val="21"/>
                          <w:szCs w:val="21"/>
                          <w:lang w:eastAsia="zh-CN"/>
                        </w:rPr>
                        <w:t>企参与</w:t>
                      </w:r>
                      <w:proofErr w:type="gramEnd"/>
                      <w:r w:rsidRPr="000546A7">
                        <w:rPr>
                          <w:rFonts w:ascii="Times New Roman" w:eastAsia="楷体" w:hAnsi="Times New Roman" w:cs="Aharoni" w:hint="eastAsia"/>
                          <w:bCs/>
                          <w:iCs/>
                          <w:sz w:val="21"/>
                          <w:szCs w:val="21"/>
                          <w:lang w:eastAsia="zh-CN"/>
                        </w:rPr>
                        <w:t>老旧小区改造的主要模式为：</w:t>
                      </w:r>
                      <w:r w:rsidRPr="008E53BA">
                        <w:rPr>
                          <w:rFonts w:ascii="Times New Roman" w:eastAsia="楷体" w:hAnsi="Times New Roman" w:cs="Aharoni" w:hint="eastAsia"/>
                          <w:b/>
                          <w:iCs/>
                          <w:sz w:val="21"/>
                          <w:szCs w:val="21"/>
                          <w:lang w:eastAsia="zh-CN"/>
                        </w:rPr>
                        <w:t>1</w:t>
                      </w:r>
                      <w:r w:rsidRPr="008E53BA">
                        <w:rPr>
                          <w:rFonts w:ascii="Times New Roman" w:eastAsia="楷体" w:hAnsi="Times New Roman" w:cs="Aharoni" w:hint="eastAsia"/>
                          <w:b/>
                          <w:iCs/>
                          <w:sz w:val="21"/>
                          <w:szCs w:val="21"/>
                          <w:lang w:eastAsia="zh-CN"/>
                        </w:rPr>
                        <w:t>）与政府合作，对老旧小区建筑及基础设施进行修缮及改造：</w:t>
                      </w:r>
                      <w:r w:rsidRPr="00E5410C">
                        <w:rPr>
                          <w:rFonts w:ascii="Times New Roman" w:eastAsia="楷体" w:hAnsi="Times New Roman" w:cs="Aharoni" w:hint="eastAsia"/>
                          <w:bCs/>
                          <w:iCs/>
                          <w:sz w:val="21"/>
                          <w:szCs w:val="21"/>
                          <w:lang w:eastAsia="zh-CN"/>
                        </w:rPr>
                        <w:t>当前一线城市供地相对较少，旧城区存量住宅较多，参与老旧小区改造能够使开发商积累存量住宅更新经验、培养相应人才团队，为后续发展奠定基础</w:t>
                      </w:r>
                      <w:r>
                        <w:rPr>
                          <w:rFonts w:ascii="Times New Roman" w:eastAsia="楷体" w:hAnsi="Times New Roman" w:cs="Aharoni" w:hint="eastAsia"/>
                          <w:bCs/>
                          <w:iCs/>
                          <w:sz w:val="21"/>
                          <w:szCs w:val="21"/>
                          <w:lang w:eastAsia="zh-CN"/>
                        </w:rPr>
                        <w:t>；</w:t>
                      </w:r>
                      <w:r w:rsidRPr="008E53BA">
                        <w:rPr>
                          <w:rFonts w:ascii="Times New Roman" w:eastAsia="楷体" w:hAnsi="Times New Roman" w:cs="Aharoni" w:hint="eastAsia"/>
                          <w:b/>
                          <w:iCs/>
                          <w:sz w:val="21"/>
                          <w:szCs w:val="21"/>
                          <w:lang w:eastAsia="zh-CN"/>
                        </w:rPr>
                        <w:t>2</w:t>
                      </w:r>
                      <w:r w:rsidRPr="008E53BA">
                        <w:rPr>
                          <w:rFonts w:ascii="Times New Roman" w:eastAsia="楷体" w:hAnsi="Times New Roman" w:cs="Aharoni" w:hint="eastAsia"/>
                          <w:b/>
                          <w:iCs/>
                          <w:sz w:val="21"/>
                          <w:szCs w:val="21"/>
                          <w:lang w:eastAsia="zh-CN"/>
                        </w:rPr>
                        <w:t>）参与</w:t>
                      </w:r>
                      <w:r w:rsidRPr="008E53BA">
                        <w:rPr>
                          <w:rFonts w:ascii="Times New Roman" w:eastAsia="楷体" w:hAnsi="Times New Roman" w:cs="Aharoni" w:hint="eastAsia"/>
                          <w:b/>
                          <w:iCs/>
                          <w:sz w:val="21"/>
                          <w:szCs w:val="21"/>
                          <w:lang w:eastAsia="zh-CN"/>
                        </w:rPr>
                        <w:t>BOT</w:t>
                      </w:r>
                      <w:r w:rsidRPr="008E53BA">
                        <w:rPr>
                          <w:rFonts w:ascii="Times New Roman" w:eastAsia="楷体" w:hAnsi="Times New Roman" w:cs="Aharoni" w:hint="eastAsia"/>
                          <w:b/>
                          <w:iCs/>
                          <w:sz w:val="21"/>
                          <w:szCs w:val="21"/>
                          <w:lang w:eastAsia="zh-CN"/>
                        </w:rPr>
                        <w:t>项目获取运营收入：</w:t>
                      </w:r>
                      <w:r w:rsidRPr="00E5504C">
                        <w:rPr>
                          <w:rFonts w:ascii="Times New Roman" w:eastAsia="楷体" w:hAnsi="Times New Roman" w:cs="Aharoni" w:hint="eastAsia"/>
                          <w:bCs/>
                          <w:iCs/>
                          <w:sz w:val="21"/>
                          <w:szCs w:val="21"/>
                          <w:lang w:eastAsia="zh-CN"/>
                        </w:rPr>
                        <w:t>老旧小区改造将对开发商的城市运营和资产管理能力提出更高要求</w:t>
                      </w:r>
                      <w:r>
                        <w:rPr>
                          <w:rFonts w:ascii="Times New Roman" w:eastAsia="楷体" w:hAnsi="Times New Roman" w:cs="Aharoni" w:hint="eastAsia"/>
                          <w:bCs/>
                          <w:iCs/>
                          <w:sz w:val="21"/>
                          <w:szCs w:val="21"/>
                          <w:lang w:eastAsia="zh-CN"/>
                        </w:rPr>
                        <w:t>，</w:t>
                      </w:r>
                      <w:r w:rsidRPr="00BA7281">
                        <w:rPr>
                          <w:rFonts w:ascii="Times New Roman" w:eastAsia="楷体" w:hAnsi="Times New Roman" w:cs="Aharoni" w:hint="eastAsia"/>
                          <w:bCs/>
                          <w:iCs/>
                          <w:sz w:val="21"/>
                          <w:szCs w:val="21"/>
                          <w:lang w:eastAsia="zh-CN"/>
                        </w:rPr>
                        <w:t>参与改造或将使房企的服务及运营能力得到提升，助力房企在存量住宅时代的持续发展。</w:t>
                      </w:r>
                    </w:p>
                    <w:p w14:paraId="3801FDDA" w14:textId="1AD61AF3" w:rsidR="00307227" w:rsidRDefault="00307227" w:rsidP="00290882">
                      <w:pPr>
                        <w:pStyle w:val="a5"/>
                        <w:spacing w:after="120"/>
                        <w:jc w:val="both"/>
                        <w:rPr>
                          <w:rFonts w:ascii="Times New Roman" w:hAnsi="Times New Roman" w:cs="Aharoni"/>
                          <w:b/>
                          <w:i/>
                          <w:color w:val="FF0000"/>
                          <w:sz w:val="21"/>
                          <w:szCs w:val="21"/>
                          <w:lang w:eastAsia="zh-CN"/>
                        </w:rPr>
                      </w:pPr>
                      <w:r w:rsidRPr="00581B39">
                        <w:rPr>
                          <w:rFonts w:ascii="Times New Roman" w:eastAsia="楷体" w:hAnsi="Times New Roman" w:cs="Aharoni"/>
                          <w:b/>
                          <w:i/>
                          <w:color w:val="FF0000"/>
                          <w:sz w:val="21"/>
                          <w:szCs w:val="21"/>
                          <w:lang w:eastAsia="zh-CN"/>
                        </w:rPr>
                        <w:t>数据要点</w:t>
                      </w:r>
                      <w:r w:rsidRPr="00581B39">
                        <w:rPr>
                          <w:rFonts w:ascii="Times New Roman" w:hAnsi="Times New Roman" w:cs="Aharoni" w:hint="eastAsia"/>
                          <w:b/>
                          <w:i/>
                          <w:color w:val="FF0000"/>
                          <w:sz w:val="21"/>
                          <w:szCs w:val="21"/>
                          <w:lang w:eastAsia="zh-CN"/>
                        </w:rPr>
                        <w:t>：</w:t>
                      </w:r>
                    </w:p>
                    <w:p w14:paraId="3F745948" w14:textId="3730A269" w:rsidR="00307227" w:rsidRDefault="00307227" w:rsidP="00290882">
                      <w:pPr>
                        <w:pStyle w:val="a5"/>
                        <w:spacing w:after="120"/>
                        <w:jc w:val="both"/>
                        <w:rPr>
                          <w:rFonts w:ascii="Times New Roman" w:eastAsia="楷体" w:hAnsi="Times New Roman" w:cs="Times New Roman"/>
                          <w:bCs/>
                          <w:iCs/>
                          <w:color w:val="000000" w:themeColor="text1"/>
                          <w:sz w:val="21"/>
                          <w:szCs w:val="21"/>
                          <w:lang w:eastAsia="zh-CN"/>
                        </w:rPr>
                      </w:pPr>
                      <w:r w:rsidRPr="00243574">
                        <w:rPr>
                          <w:rFonts w:ascii="Times New Roman" w:eastAsia="楷体" w:hAnsi="Times New Roman" w:cs="Times New Roman"/>
                          <w:bCs/>
                          <w:iCs/>
                          <w:color w:val="000000" w:themeColor="text1"/>
                          <w:sz w:val="21"/>
                          <w:szCs w:val="21"/>
                          <w:lang w:eastAsia="zh-CN"/>
                        </w:rPr>
                        <w:t>截至</w:t>
                      </w:r>
                      <w:r>
                        <w:rPr>
                          <w:rFonts w:ascii="Times New Roman" w:eastAsia="楷体" w:hAnsi="Times New Roman" w:cs="Times New Roman"/>
                          <w:bCs/>
                          <w:iCs/>
                          <w:color w:val="000000" w:themeColor="text1"/>
                          <w:sz w:val="21"/>
                          <w:szCs w:val="21"/>
                          <w:lang w:eastAsia="zh-CN"/>
                        </w:rPr>
                        <w:t>4</w:t>
                      </w:r>
                      <w:r w:rsidRPr="00243574">
                        <w:rPr>
                          <w:rFonts w:ascii="Times New Roman" w:eastAsia="楷体" w:hAnsi="Times New Roman" w:cs="Times New Roman"/>
                          <w:bCs/>
                          <w:iCs/>
                          <w:color w:val="000000" w:themeColor="text1"/>
                          <w:sz w:val="21"/>
                          <w:szCs w:val="21"/>
                          <w:lang w:eastAsia="zh-CN"/>
                        </w:rPr>
                        <w:t>月</w:t>
                      </w:r>
                      <w:r>
                        <w:rPr>
                          <w:rFonts w:ascii="Times New Roman" w:eastAsia="楷体" w:hAnsi="Times New Roman" w:cs="Times New Roman"/>
                          <w:bCs/>
                          <w:iCs/>
                          <w:color w:val="000000" w:themeColor="text1"/>
                          <w:sz w:val="21"/>
                          <w:szCs w:val="21"/>
                          <w:lang w:eastAsia="zh-CN"/>
                        </w:rPr>
                        <w:t>3</w:t>
                      </w:r>
                      <w:r w:rsidRPr="00243574">
                        <w:rPr>
                          <w:rFonts w:ascii="Times New Roman" w:eastAsia="楷体" w:hAnsi="Times New Roman" w:cs="Times New Roman"/>
                          <w:bCs/>
                          <w:iCs/>
                          <w:color w:val="000000" w:themeColor="text1"/>
                          <w:sz w:val="21"/>
                          <w:szCs w:val="21"/>
                          <w:lang w:eastAsia="zh-CN"/>
                        </w:rPr>
                        <w:t>日，</w:t>
                      </w:r>
                      <w:r>
                        <w:rPr>
                          <w:rFonts w:ascii="Times New Roman" w:eastAsia="楷体" w:hAnsi="Times New Roman" w:cs="Times New Roman" w:hint="eastAsia"/>
                          <w:bCs/>
                          <w:iCs/>
                          <w:color w:val="000000" w:themeColor="text1"/>
                          <w:sz w:val="21"/>
                          <w:szCs w:val="21"/>
                          <w:lang w:eastAsia="zh-CN"/>
                        </w:rPr>
                        <w:t>本</w:t>
                      </w:r>
                      <w:r w:rsidRPr="00243574">
                        <w:rPr>
                          <w:rFonts w:ascii="Times New Roman" w:eastAsia="楷体" w:hAnsi="Times New Roman" w:cs="Times New Roman"/>
                          <w:bCs/>
                          <w:iCs/>
                          <w:color w:val="000000" w:themeColor="text1"/>
                          <w:sz w:val="21"/>
                          <w:szCs w:val="21"/>
                          <w:lang w:eastAsia="zh-CN"/>
                        </w:rPr>
                        <w:t>周</w:t>
                      </w:r>
                      <w:r w:rsidRPr="00243574">
                        <w:rPr>
                          <w:rFonts w:ascii="Times New Roman" w:eastAsia="楷体" w:hAnsi="Times New Roman" w:cs="Times New Roman"/>
                          <w:bCs/>
                          <w:iCs/>
                          <w:color w:val="000000" w:themeColor="text1"/>
                          <w:sz w:val="21"/>
                          <w:szCs w:val="21"/>
                          <w:lang w:eastAsia="zh-CN"/>
                        </w:rPr>
                        <w:t>44</w:t>
                      </w:r>
                      <w:r w:rsidRPr="00243574">
                        <w:rPr>
                          <w:rFonts w:ascii="Times New Roman" w:eastAsia="楷体" w:hAnsi="Times New Roman" w:cs="Times New Roman"/>
                          <w:bCs/>
                          <w:iCs/>
                          <w:color w:val="000000" w:themeColor="text1"/>
                          <w:sz w:val="21"/>
                          <w:szCs w:val="21"/>
                          <w:lang w:eastAsia="zh-CN"/>
                        </w:rPr>
                        <w:t>个主要城市新房成交</w:t>
                      </w:r>
                      <w:proofErr w:type="gramStart"/>
                      <w:r w:rsidRPr="00243574">
                        <w:rPr>
                          <w:rFonts w:ascii="Times New Roman" w:eastAsia="楷体" w:hAnsi="Times New Roman" w:cs="Times New Roman"/>
                          <w:bCs/>
                          <w:iCs/>
                          <w:color w:val="000000" w:themeColor="text1"/>
                          <w:sz w:val="21"/>
                          <w:szCs w:val="21"/>
                          <w:lang w:eastAsia="zh-CN"/>
                        </w:rPr>
                        <w:t>面积环</w:t>
                      </w:r>
                      <w:proofErr w:type="gramEnd"/>
                      <w:r w:rsidRPr="00243574">
                        <w:rPr>
                          <w:rFonts w:ascii="Times New Roman" w:eastAsia="楷体" w:hAnsi="Times New Roman" w:cs="Times New Roman"/>
                          <w:bCs/>
                          <w:iCs/>
                          <w:color w:val="000000" w:themeColor="text1"/>
                          <w:sz w:val="21"/>
                          <w:szCs w:val="21"/>
                          <w:lang w:eastAsia="zh-CN"/>
                        </w:rPr>
                        <w:t>比</w:t>
                      </w:r>
                      <w:r w:rsidRPr="00126E38">
                        <w:rPr>
                          <w:rFonts w:ascii="Times New Roman" w:eastAsia="楷体" w:hAnsi="Times New Roman" w:cs="Times New Roman"/>
                          <w:bCs/>
                          <w:iCs/>
                          <w:color w:val="000000" w:themeColor="text1"/>
                          <w:sz w:val="21"/>
                          <w:szCs w:val="21"/>
                          <w:lang w:eastAsia="zh-CN"/>
                        </w:rPr>
                        <w:t>上升</w:t>
                      </w:r>
                      <w:r>
                        <w:rPr>
                          <w:rFonts w:ascii="Times New Roman" w:eastAsia="楷体" w:hAnsi="Times New Roman" w:cs="Times New Roman"/>
                          <w:bCs/>
                          <w:iCs/>
                          <w:color w:val="000000" w:themeColor="text1"/>
                          <w:sz w:val="21"/>
                          <w:szCs w:val="21"/>
                          <w:lang w:eastAsia="zh-CN"/>
                        </w:rPr>
                        <w:t>8</w:t>
                      </w:r>
                      <w:r w:rsidRPr="00126E38">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2020</w:t>
                      </w:r>
                      <w:r w:rsidRPr="00243574">
                        <w:rPr>
                          <w:rFonts w:ascii="Times New Roman" w:eastAsia="楷体" w:hAnsi="Times New Roman" w:cs="Times New Roman"/>
                          <w:bCs/>
                          <w:iCs/>
                          <w:color w:val="000000" w:themeColor="text1"/>
                          <w:sz w:val="21"/>
                          <w:szCs w:val="21"/>
                          <w:lang w:eastAsia="zh-CN"/>
                        </w:rPr>
                        <w:t>年累计成交面积同比</w:t>
                      </w:r>
                      <w:r w:rsidRPr="00126E38">
                        <w:rPr>
                          <w:rFonts w:ascii="Times New Roman" w:eastAsia="楷体" w:hAnsi="Times New Roman" w:cs="Times New Roman"/>
                          <w:bCs/>
                          <w:iCs/>
                          <w:color w:val="000000" w:themeColor="text1"/>
                          <w:sz w:val="21"/>
                          <w:szCs w:val="21"/>
                          <w:lang w:eastAsia="zh-CN"/>
                        </w:rPr>
                        <w:t>下降</w:t>
                      </w:r>
                      <w:r w:rsidR="006258A3">
                        <w:rPr>
                          <w:rFonts w:ascii="Times New Roman" w:eastAsia="楷体" w:hAnsi="Times New Roman" w:cs="Times New Roman"/>
                          <w:bCs/>
                          <w:iCs/>
                          <w:color w:val="000000" w:themeColor="text1"/>
                          <w:sz w:val="21"/>
                          <w:szCs w:val="21"/>
                          <w:lang w:eastAsia="zh-CN"/>
                        </w:rPr>
                        <w:t>32</w:t>
                      </w:r>
                      <w:r w:rsidRPr="00126E38">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w:t>
                      </w:r>
                    </w:p>
                    <w:p w14:paraId="6D91E4C3" w14:textId="7572C2B5" w:rsidR="00307227" w:rsidRDefault="00307227" w:rsidP="00290882">
                      <w:pPr>
                        <w:pStyle w:val="a5"/>
                        <w:spacing w:after="120"/>
                        <w:jc w:val="both"/>
                        <w:rPr>
                          <w:rFonts w:ascii="Times New Roman" w:eastAsia="楷体" w:hAnsi="Times New Roman" w:cs="Times New Roman"/>
                          <w:bCs/>
                          <w:iCs/>
                          <w:color w:val="000000" w:themeColor="text1"/>
                          <w:sz w:val="21"/>
                          <w:szCs w:val="21"/>
                          <w:lang w:eastAsia="zh-CN"/>
                        </w:rPr>
                      </w:pPr>
                      <w:r w:rsidRPr="00265EEF">
                        <w:rPr>
                          <w:rFonts w:ascii="Times New Roman" w:eastAsia="楷体" w:hAnsi="Times New Roman" w:cs="Times New Roman" w:hint="eastAsia"/>
                          <w:bCs/>
                          <w:iCs/>
                          <w:color w:val="000000" w:themeColor="text1"/>
                          <w:sz w:val="21"/>
                          <w:szCs w:val="21"/>
                          <w:lang w:eastAsia="zh-CN"/>
                        </w:rPr>
                        <w:t>截至</w:t>
                      </w:r>
                      <w:r>
                        <w:rPr>
                          <w:rFonts w:ascii="Times New Roman" w:eastAsia="楷体" w:hAnsi="Times New Roman" w:cs="Times New Roman"/>
                          <w:bCs/>
                          <w:iCs/>
                          <w:color w:val="000000" w:themeColor="text1"/>
                          <w:sz w:val="21"/>
                          <w:szCs w:val="21"/>
                          <w:lang w:eastAsia="zh-CN"/>
                        </w:rPr>
                        <w:t>4</w:t>
                      </w:r>
                      <w:r w:rsidRPr="00265EEF">
                        <w:rPr>
                          <w:rFonts w:ascii="Times New Roman" w:eastAsia="楷体" w:hAnsi="Times New Roman" w:cs="Times New Roman" w:hint="eastAsia"/>
                          <w:bCs/>
                          <w:iCs/>
                          <w:color w:val="000000" w:themeColor="text1"/>
                          <w:sz w:val="21"/>
                          <w:szCs w:val="21"/>
                          <w:lang w:eastAsia="zh-CN"/>
                        </w:rPr>
                        <w:t>月</w:t>
                      </w:r>
                      <w:r>
                        <w:rPr>
                          <w:rFonts w:ascii="Times New Roman" w:eastAsia="楷体" w:hAnsi="Times New Roman" w:cs="Times New Roman"/>
                          <w:bCs/>
                          <w:iCs/>
                          <w:color w:val="000000" w:themeColor="text1"/>
                          <w:sz w:val="21"/>
                          <w:szCs w:val="21"/>
                          <w:lang w:eastAsia="zh-CN"/>
                        </w:rPr>
                        <w:t>3</w:t>
                      </w:r>
                      <w:r w:rsidRPr="00265EEF">
                        <w:rPr>
                          <w:rFonts w:ascii="Times New Roman" w:eastAsia="楷体" w:hAnsi="Times New Roman" w:cs="Times New Roman" w:hint="eastAsia"/>
                          <w:bCs/>
                          <w:iCs/>
                          <w:color w:val="000000" w:themeColor="text1"/>
                          <w:sz w:val="21"/>
                          <w:szCs w:val="21"/>
                          <w:lang w:eastAsia="zh-CN"/>
                        </w:rPr>
                        <w:t>日，</w:t>
                      </w:r>
                      <w:r>
                        <w:rPr>
                          <w:rFonts w:ascii="Times New Roman" w:eastAsia="楷体" w:hAnsi="Times New Roman" w:cs="Times New Roman" w:hint="eastAsia"/>
                          <w:bCs/>
                          <w:iCs/>
                          <w:color w:val="000000" w:themeColor="text1"/>
                          <w:sz w:val="21"/>
                          <w:szCs w:val="21"/>
                          <w:lang w:eastAsia="zh-CN"/>
                        </w:rPr>
                        <w:t>本</w:t>
                      </w:r>
                      <w:r w:rsidRPr="00460EAD">
                        <w:rPr>
                          <w:rFonts w:ascii="Times New Roman" w:eastAsia="楷体" w:hAnsi="Times New Roman" w:cs="Times New Roman" w:hint="eastAsia"/>
                          <w:bCs/>
                          <w:iCs/>
                          <w:color w:val="000000" w:themeColor="text1"/>
                          <w:sz w:val="21"/>
                          <w:szCs w:val="21"/>
                          <w:lang w:eastAsia="zh-CN"/>
                        </w:rPr>
                        <w:t>周</w:t>
                      </w:r>
                      <w:r w:rsidRPr="00243574">
                        <w:rPr>
                          <w:rFonts w:ascii="Times New Roman" w:eastAsia="楷体" w:hAnsi="Times New Roman" w:cs="Times New Roman"/>
                          <w:bCs/>
                          <w:iCs/>
                          <w:color w:val="000000" w:themeColor="text1"/>
                          <w:sz w:val="21"/>
                          <w:szCs w:val="21"/>
                          <w:lang w:eastAsia="zh-CN"/>
                        </w:rPr>
                        <w:t>1</w:t>
                      </w:r>
                      <w:r>
                        <w:rPr>
                          <w:rFonts w:ascii="Times New Roman" w:eastAsia="楷体" w:hAnsi="Times New Roman" w:cs="Times New Roman"/>
                          <w:bCs/>
                          <w:iCs/>
                          <w:color w:val="000000" w:themeColor="text1"/>
                          <w:sz w:val="21"/>
                          <w:szCs w:val="21"/>
                          <w:lang w:eastAsia="zh-CN"/>
                        </w:rPr>
                        <w:t>3</w:t>
                      </w:r>
                      <w:r w:rsidRPr="00243574">
                        <w:rPr>
                          <w:rFonts w:ascii="Times New Roman" w:eastAsia="楷体" w:hAnsi="Times New Roman" w:cs="Times New Roman"/>
                          <w:bCs/>
                          <w:iCs/>
                          <w:color w:val="000000" w:themeColor="text1"/>
                          <w:sz w:val="21"/>
                          <w:szCs w:val="21"/>
                          <w:lang w:eastAsia="zh-CN"/>
                        </w:rPr>
                        <w:t>个主要城市可售面积（库存）环比</w:t>
                      </w:r>
                      <w:r>
                        <w:rPr>
                          <w:rFonts w:ascii="Times New Roman" w:eastAsia="楷体" w:hAnsi="Times New Roman" w:cs="Times New Roman" w:hint="eastAsia"/>
                          <w:bCs/>
                          <w:iCs/>
                          <w:color w:val="000000" w:themeColor="text1"/>
                          <w:sz w:val="21"/>
                          <w:szCs w:val="21"/>
                          <w:lang w:eastAsia="zh-CN"/>
                        </w:rPr>
                        <w:t>上升</w:t>
                      </w:r>
                      <w:r>
                        <w:rPr>
                          <w:rFonts w:ascii="Times New Roman" w:eastAsia="楷体" w:hAnsi="Times New Roman" w:cs="Times New Roman"/>
                          <w:bCs/>
                          <w:iCs/>
                          <w:color w:val="000000" w:themeColor="text1"/>
                          <w:sz w:val="21"/>
                          <w:szCs w:val="21"/>
                          <w:lang w:eastAsia="zh-CN"/>
                        </w:rPr>
                        <w:t>0.4%</w:t>
                      </w:r>
                      <w:r w:rsidRPr="00243574">
                        <w:rPr>
                          <w:rFonts w:ascii="Times New Roman" w:eastAsia="楷体" w:hAnsi="Times New Roman" w:cs="Times New Roman"/>
                          <w:bCs/>
                          <w:iCs/>
                          <w:color w:val="000000" w:themeColor="text1"/>
                          <w:sz w:val="21"/>
                          <w:szCs w:val="21"/>
                          <w:lang w:eastAsia="zh-CN"/>
                        </w:rPr>
                        <w:t>；</w:t>
                      </w:r>
                      <w:proofErr w:type="gramStart"/>
                      <w:r w:rsidRPr="00243574">
                        <w:rPr>
                          <w:rFonts w:ascii="Times New Roman" w:eastAsia="楷体" w:hAnsi="Times New Roman" w:cs="Times New Roman"/>
                          <w:bCs/>
                          <w:iCs/>
                          <w:color w:val="000000" w:themeColor="text1"/>
                          <w:sz w:val="21"/>
                          <w:szCs w:val="21"/>
                          <w:lang w:eastAsia="zh-CN"/>
                        </w:rPr>
                        <w:t>平均去</w:t>
                      </w:r>
                      <w:proofErr w:type="gramEnd"/>
                      <w:r w:rsidRPr="00243574">
                        <w:rPr>
                          <w:rFonts w:ascii="Times New Roman" w:eastAsia="楷体" w:hAnsi="Times New Roman" w:cs="Times New Roman"/>
                          <w:bCs/>
                          <w:iCs/>
                          <w:color w:val="000000" w:themeColor="text1"/>
                          <w:sz w:val="21"/>
                          <w:szCs w:val="21"/>
                          <w:lang w:eastAsia="zh-CN"/>
                        </w:rPr>
                        <w:t>化周期</w:t>
                      </w:r>
                      <w:r>
                        <w:rPr>
                          <w:rFonts w:ascii="Times New Roman" w:eastAsia="楷体" w:hAnsi="Times New Roman" w:cs="Times New Roman"/>
                          <w:bCs/>
                          <w:iCs/>
                          <w:color w:val="000000" w:themeColor="text1"/>
                          <w:sz w:val="21"/>
                          <w:szCs w:val="21"/>
                          <w:lang w:eastAsia="zh-CN"/>
                        </w:rPr>
                        <w:t>17.3</w:t>
                      </w:r>
                      <w:r w:rsidRPr="00243574">
                        <w:rPr>
                          <w:rFonts w:ascii="Times New Roman" w:eastAsia="楷体" w:hAnsi="Times New Roman" w:cs="Times New Roman"/>
                          <w:bCs/>
                          <w:iCs/>
                          <w:color w:val="000000" w:themeColor="text1"/>
                          <w:sz w:val="21"/>
                          <w:szCs w:val="21"/>
                          <w:lang w:eastAsia="zh-CN"/>
                        </w:rPr>
                        <w:t>个月，环比下降</w:t>
                      </w:r>
                      <w:r>
                        <w:rPr>
                          <w:rFonts w:ascii="Times New Roman" w:eastAsia="楷体" w:hAnsi="Times New Roman" w:cs="Times New Roman"/>
                          <w:bCs/>
                          <w:iCs/>
                          <w:color w:val="000000" w:themeColor="text1"/>
                          <w:sz w:val="21"/>
                          <w:szCs w:val="21"/>
                          <w:lang w:eastAsia="zh-CN"/>
                        </w:rPr>
                        <w:t>10</w:t>
                      </w:r>
                      <w:r w:rsidRPr="00126E38">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w:t>
                      </w:r>
                    </w:p>
                    <w:p w14:paraId="1102033B" w14:textId="4DCDC347" w:rsidR="00307227" w:rsidRPr="00243574" w:rsidRDefault="00307227" w:rsidP="00290882">
                      <w:pPr>
                        <w:pStyle w:val="a5"/>
                        <w:spacing w:after="120"/>
                        <w:jc w:val="both"/>
                        <w:rPr>
                          <w:rFonts w:ascii="Times New Roman" w:eastAsia="楷体" w:hAnsi="Times New Roman" w:cs="Times New Roman"/>
                          <w:bCs/>
                          <w:iCs/>
                          <w:color w:val="000000" w:themeColor="text1"/>
                          <w:sz w:val="21"/>
                          <w:szCs w:val="21"/>
                          <w:lang w:eastAsia="zh-CN"/>
                        </w:rPr>
                      </w:pPr>
                      <w:r w:rsidRPr="00265EEF">
                        <w:rPr>
                          <w:rFonts w:ascii="Times New Roman" w:eastAsia="楷体" w:hAnsi="Times New Roman" w:cs="Times New Roman" w:hint="eastAsia"/>
                          <w:bCs/>
                          <w:iCs/>
                          <w:color w:val="000000" w:themeColor="text1"/>
                          <w:sz w:val="21"/>
                          <w:szCs w:val="21"/>
                          <w:lang w:eastAsia="zh-CN"/>
                        </w:rPr>
                        <w:t>截至</w:t>
                      </w:r>
                      <w:r>
                        <w:rPr>
                          <w:rFonts w:ascii="Times New Roman" w:eastAsia="楷体" w:hAnsi="Times New Roman" w:cs="Times New Roman"/>
                          <w:bCs/>
                          <w:iCs/>
                          <w:color w:val="000000" w:themeColor="text1"/>
                          <w:sz w:val="21"/>
                          <w:szCs w:val="21"/>
                          <w:lang w:eastAsia="zh-CN"/>
                        </w:rPr>
                        <w:t>4</w:t>
                      </w:r>
                      <w:r w:rsidRPr="00265EEF">
                        <w:rPr>
                          <w:rFonts w:ascii="Times New Roman" w:eastAsia="楷体" w:hAnsi="Times New Roman" w:cs="Times New Roman" w:hint="eastAsia"/>
                          <w:bCs/>
                          <w:iCs/>
                          <w:color w:val="000000" w:themeColor="text1"/>
                          <w:sz w:val="21"/>
                          <w:szCs w:val="21"/>
                          <w:lang w:eastAsia="zh-CN"/>
                        </w:rPr>
                        <w:t>月</w:t>
                      </w:r>
                      <w:r>
                        <w:rPr>
                          <w:rFonts w:ascii="Times New Roman" w:eastAsia="楷体" w:hAnsi="Times New Roman" w:cs="Times New Roman"/>
                          <w:bCs/>
                          <w:iCs/>
                          <w:color w:val="000000" w:themeColor="text1"/>
                          <w:sz w:val="21"/>
                          <w:szCs w:val="21"/>
                          <w:lang w:eastAsia="zh-CN"/>
                        </w:rPr>
                        <w:t>3</w:t>
                      </w:r>
                      <w:r w:rsidRPr="00265EEF">
                        <w:rPr>
                          <w:rFonts w:ascii="Times New Roman" w:eastAsia="楷体" w:hAnsi="Times New Roman" w:cs="Times New Roman" w:hint="eastAsia"/>
                          <w:bCs/>
                          <w:iCs/>
                          <w:color w:val="000000" w:themeColor="text1"/>
                          <w:sz w:val="21"/>
                          <w:szCs w:val="21"/>
                          <w:lang w:eastAsia="zh-CN"/>
                        </w:rPr>
                        <w:t>日，</w:t>
                      </w:r>
                      <w:r>
                        <w:rPr>
                          <w:rFonts w:ascii="Times New Roman" w:eastAsia="楷体" w:hAnsi="Times New Roman" w:cs="Times New Roman" w:hint="eastAsia"/>
                          <w:bCs/>
                          <w:iCs/>
                          <w:color w:val="000000" w:themeColor="text1"/>
                          <w:sz w:val="21"/>
                          <w:szCs w:val="21"/>
                          <w:lang w:eastAsia="zh-CN"/>
                        </w:rPr>
                        <w:t>本</w:t>
                      </w:r>
                      <w:r w:rsidRPr="00460EAD">
                        <w:rPr>
                          <w:rFonts w:ascii="Times New Roman" w:eastAsia="楷体" w:hAnsi="Times New Roman" w:cs="Times New Roman" w:hint="eastAsia"/>
                          <w:bCs/>
                          <w:iCs/>
                          <w:color w:val="000000" w:themeColor="text1"/>
                          <w:sz w:val="21"/>
                          <w:szCs w:val="21"/>
                          <w:lang w:eastAsia="zh-CN"/>
                        </w:rPr>
                        <w:t>周</w:t>
                      </w:r>
                      <w:r w:rsidRPr="00243574">
                        <w:rPr>
                          <w:rFonts w:ascii="Times New Roman" w:eastAsia="楷体" w:hAnsi="Times New Roman" w:cs="Times New Roman"/>
                          <w:bCs/>
                          <w:iCs/>
                          <w:color w:val="000000" w:themeColor="text1"/>
                          <w:sz w:val="21"/>
                          <w:szCs w:val="21"/>
                          <w:lang w:eastAsia="zh-CN"/>
                        </w:rPr>
                        <w:t>1</w:t>
                      </w:r>
                      <w:r>
                        <w:rPr>
                          <w:rFonts w:ascii="Times New Roman" w:eastAsia="楷体" w:hAnsi="Times New Roman" w:cs="Times New Roman"/>
                          <w:bCs/>
                          <w:iCs/>
                          <w:color w:val="000000" w:themeColor="text1"/>
                          <w:sz w:val="21"/>
                          <w:szCs w:val="21"/>
                          <w:lang w:eastAsia="zh-CN"/>
                        </w:rPr>
                        <w:t>5</w:t>
                      </w:r>
                      <w:r w:rsidRPr="00243574">
                        <w:rPr>
                          <w:rFonts w:ascii="Times New Roman" w:eastAsia="楷体" w:hAnsi="Times New Roman" w:cs="Times New Roman"/>
                          <w:bCs/>
                          <w:iCs/>
                          <w:color w:val="000000" w:themeColor="text1"/>
                          <w:sz w:val="21"/>
                          <w:szCs w:val="21"/>
                          <w:lang w:eastAsia="zh-CN"/>
                        </w:rPr>
                        <w:t>个主要城市二手房</w:t>
                      </w:r>
                      <w:proofErr w:type="gramStart"/>
                      <w:r w:rsidRPr="00243574">
                        <w:rPr>
                          <w:rFonts w:ascii="Times New Roman" w:eastAsia="楷体" w:hAnsi="Times New Roman" w:cs="Times New Roman"/>
                          <w:bCs/>
                          <w:iCs/>
                          <w:color w:val="000000" w:themeColor="text1"/>
                          <w:sz w:val="21"/>
                          <w:szCs w:val="21"/>
                          <w:lang w:eastAsia="zh-CN"/>
                        </w:rPr>
                        <w:t>交易建面环</w:t>
                      </w:r>
                      <w:proofErr w:type="gramEnd"/>
                      <w:r w:rsidRPr="00243574">
                        <w:rPr>
                          <w:rFonts w:ascii="Times New Roman" w:eastAsia="楷体" w:hAnsi="Times New Roman" w:cs="Times New Roman"/>
                          <w:bCs/>
                          <w:iCs/>
                          <w:color w:val="000000" w:themeColor="text1"/>
                          <w:sz w:val="21"/>
                          <w:szCs w:val="21"/>
                          <w:lang w:eastAsia="zh-CN"/>
                        </w:rPr>
                        <w:t>比</w:t>
                      </w:r>
                      <w:r>
                        <w:rPr>
                          <w:rFonts w:ascii="Times New Roman" w:eastAsia="楷体" w:hAnsi="Times New Roman" w:cs="Times New Roman" w:hint="eastAsia"/>
                          <w:bCs/>
                          <w:iCs/>
                          <w:color w:val="000000" w:themeColor="text1"/>
                          <w:sz w:val="21"/>
                          <w:szCs w:val="21"/>
                          <w:lang w:eastAsia="zh-CN"/>
                        </w:rPr>
                        <w:t>下降</w:t>
                      </w:r>
                      <w:r>
                        <w:rPr>
                          <w:rFonts w:ascii="Times New Roman" w:eastAsia="楷体" w:hAnsi="Times New Roman" w:cs="Times New Roman" w:hint="eastAsia"/>
                          <w:bCs/>
                          <w:iCs/>
                          <w:color w:val="000000" w:themeColor="text1"/>
                          <w:sz w:val="21"/>
                          <w:szCs w:val="21"/>
                          <w:lang w:eastAsia="zh-CN"/>
                        </w:rPr>
                        <w:t>2</w:t>
                      </w:r>
                      <w:r w:rsidRPr="00126E38">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2020</w:t>
                      </w:r>
                      <w:r w:rsidRPr="00243574">
                        <w:rPr>
                          <w:rFonts w:ascii="Times New Roman" w:eastAsia="楷体" w:hAnsi="Times New Roman" w:cs="Times New Roman"/>
                          <w:bCs/>
                          <w:iCs/>
                          <w:color w:val="000000" w:themeColor="text1"/>
                          <w:sz w:val="21"/>
                          <w:szCs w:val="21"/>
                          <w:lang w:eastAsia="zh-CN"/>
                        </w:rPr>
                        <w:t>年累计交易面积同比</w:t>
                      </w:r>
                      <w:r w:rsidRPr="00126E38">
                        <w:rPr>
                          <w:rFonts w:ascii="Times New Roman" w:eastAsia="楷体" w:hAnsi="Times New Roman" w:cs="Times New Roman"/>
                          <w:bCs/>
                          <w:iCs/>
                          <w:color w:val="000000" w:themeColor="text1"/>
                          <w:sz w:val="21"/>
                          <w:szCs w:val="21"/>
                          <w:lang w:eastAsia="zh-CN"/>
                        </w:rPr>
                        <w:t>下降</w:t>
                      </w:r>
                      <w:r>
                        <w:rPr>
                          <w:rFonts w:ascii="Times New Roman" w:eastAsia="楷体" w:hAnsi="Times New Roman" w:cs="Times New Roman"/>
                          <w:bCs/>
                          <w:iCs/>
                          <w:color w:val="000000" w:themeColor="text1"/>
                          <w:sz w:val="21"/>
                          <w:szCs w:val="21"/>
                          <w:lang w:eastAsia="zh-CN"/>
                        </w:rPr>
                        <w:t>27</w:t>
                      </w:r>
                      <w:r w:rsidRPr="00126E38">
                        <w:rPr>
                          <w:rFonts w:ascii="Times New Roman" w:eastAsia="楷体" w:hAnsi="Times New Roman" w:cs="Times New Roman"/>
                          <w:bCs/>
                          <w:iCs/>
                          <w:color w:val="000000" w:themeColor="text1"/>
                          <w:sz w:val="21"/>
                          <w:szCs w:val="21"/>
                          <w:lang w:eastAsia="zh-CN"/>
                        </w:rPr>
                        <w:t>%</w:t>
                      </w:r>
                      <w:r w:rsidRPr="00243574">
                        <w:rPr>
                          <w:rFonts w:ascii="Times New Roman" w:eastAsia="楷体" w:hAnsi="Times New Roman" w:cs="Times New Roman"/>
                          <w:bCs/>
                          <w:iCs/>
                          <w:color w:val="000000" w:themeColor="text1"/>
                          <w:sz w:val="21"/>
                          <w:szCs w:val="21"/>
                          <w:lang w:eastAsia="zh-CN"/>
                        </w:rPr>
                        <w:t>。</w:t>
                      </w:r>
                    </w:p>
                    <w:p w14:paraId="1542A19D" w14:textId="1919C4D6" w:rsidR="00307227" w:rsidRDefault="00307227" w:rsidP="00290882">
                      <w:pPr>
                        <w:pStyle w:val="a5"/>
                        <w:spacing w:after="120"/>
                        <w:jc w:val="both"/>
                        <w:rPr>
                          <w:rFonts w:ascii="Times New Roman" w:eastAsia="楷体" w:hAnsi="Times New Roman" w:cs="Aharoni"/>
                          <w:b/>
                          <w:i/>
                          <w:color w:val="FF0000"/>
                          <w:sz w:val="21"/>
                          <w:szCs w:val="21"/>
                          <w:lang w:eastAsia="zh-CN"/>
                        </w:rPr>
                      </w:pPr>
                      <w:r w:rsidRPr="00581B39">
                        <w:rPr>
                          <w:rFonts w:ascii="Times New Roman" w:eastAsia="楷体" w:hAnsi="Times New Roman" w:cs="Aharoni"/>
                          <w:b/>
                          <w:i/>
                          <w:color w:val="FF0000"/>
                          <w:sz w:val="21"/>
                          <w:szCs w:val="21"/>
                          <w:lang w:eastAsia="zh-CN"/>
                        </w:rPr>
                        <w:t>投资建议</w:t>
                      </w:r>
                      <w:r w:rsidRPr="00581B39">
                        <w:rPr>
                          <w:rFonts w:ascii="Times New Roman" w:eastAsia="楷体" w:hAnsi="Times New Roman" w:cs="Aharoni"/>
                          <w:b/>
                          <w:i/>
                          <w:color w:val="FF0000"/>
                          <w:sz w:val="21"/>
                          <w:szCs w:val="21"/>
                          <w:lang w:eastAsia="zh-CN"/>
                        </w:rPr>
                        <w:t>:</w:t>
                      </w:r>
                    </w:p>
                    <w:p w14:paraId="0CA10D3A" w14:textId="475FD954" w:rsidR="00307227" w:rsidRPr="00495211" w:rsidRDefault="00307227" w:rsidP="00290882">
                      <w:pPr>
                        <w:pStyle w:val="a5"/>
                        <w:spacing w:after="120"/>
                        <w:jc w:val="both"/>
                        <w:rPr>
                          <w:rFonts w:ascii="Times New Roman" w:eastAsia="楷体" w:hAnsi="Times New Roman" w:cs="Aharoni"/>
                          <w:bCs/>
                          <w:iCs/>
                          <w:color w:val="000000" w:themeColor="text1"/>
                          <w:sz w:val="21"/>
                          <w:szCs w:val="21"/>
                          <w:lang w:eastAsia="zh-CN"/>
                        </w:rPr>
                      </w:pPr>
                      <w:r w:rsidRPr="00495211">
                        <w:rPr>
                          <w:rFonts w:ascii="Times New Roman" w:eastAsia="楷体" w:hAnsi="Times New Roman" w:cs="Aharoni" w:hint="eastAsia"/>
                          <w:bCs/>
                          <w:iCs/>
                          <w:color w:val="000000" w:themeColor="text1"/>
                          <w:sz w:val="21"/>
                          <w:szCs w:val="21"/>
                          <w:lang w:eastAsia="zh-CN"/>
                        </w:rPr>
                        <w:t>本周</w:t>
                      </w:r>
                      <w:r>
                        <w:rPr>
                          <w:rFonts w:ascii="Times New Roman" w:eastAsia="楷体" w:hAnsi="Times New Roman" w:cs="Aharoni" w:hint="eastAsia"/>
                          <w:bCs/>
                          <w:iCs/>
                          <w:color w:val="000000" w:themeColor="text1"/>
                          <w:sz w:val="21"/>
                          <w:szCs w:val="21"/>
                          <w:lang w:eastAsia="zh-CN"/>
                        </w:rPr>
                        <w:t>，复工复产加速推进，中央层面降低逆回购利率，</w:t>
                      </w:r>
                      <w:proofErr w:type="gramStart"/>
                      <w:r>
                        <w:rPr>
                          <w:rFonts w:ascii="Times New Roman" w:eastAsia="楷体" w:hAnsi="Times New Roman" w:cs="Aharoni" w:hint="eastAsia"/>
                          <w:bCs/>
                          <w:iCs/>
                          <w:color w:val="000000" w:themeColor="text1"/>
                          <w:sz w:val="21"/>
                          <w:szCs w:val="21"/>
                          <w:lang w:eastAsia="zh-CN"/>
                        </w:rPr>
                        <w:t>降准预期</w:t>
                      </w:r>
                      <w:proofErr w:type="gramEnd"/>
                      <w:r>
                        <w:rPr>
                          <w:rFonts w:ascii="Times New Roman" w:eastAsia="楷体" w:hAnsi="Times New Roman" w:cs="Aharoni" w:hint="eastAsia"/>
                          <w:bCs/>
                          <w:iCs/>
                          <w:color w:val="000000" w:themeColor="text1"/>
                          <w:sz w:val="21"/>
                          <w:szCs w:val="21"/>
                          <w:lang w:eastAsia="zh-CN"/>
                        </w:rPr>
                        <w:t>持续，市场流动性得到支持。地方层面，长三角地区作为中国经济的一大增长极，一体化区域协同、金融支持等相关政策有序出台，在一定程度上体现了中央</w:t>
                      </w:r>
                      <w:proofErr w:type="gramStart"/>
                      <w:r>
                        <w:rPr>
                          <w:rFonts w:ascii="Times New Roman" w:eastAsia="楷体" w:hAnsi="Times New Roman" w:cs="Aharoni" w:hint="eastAsia"/>
                          <w:bCs/>
                          <w:iCs/>
                          <w:color w:val="000000" w:themeColor="text1"/>
                          <w:sz w:val="21"/>
                          <w:szCs w:val="21"/>
                          <w:lang w:eastAsia="zh-CN"/>
                        </w:rPr>
                        <w:t>稳增长</w:t>
                      </w:r>
                      <w:proofErr w:type="gramEnd"/>
                      <w:r>
                        <w:rPr>
                          <w:rFonts w:ascii="Times New Roman" w:eastAsia="楷体" w:hAnsi="Times New Roman" w:cs="Aharoni" w:hint="eastAsia"/>
                          <w:bCs/>
                          <w:iCs/>
                          <w:color w:val="000000" w:themeColor="text1"/>
                          <w:sz w:val="21"/>
                          <w:szCs w:val="21"/>
                          <w:lang w:eastAsia="zh-CN"/>
                        </w:rPr>
                        <w:t>的决心。行业方面，本周房企继续公布</w:t>
                      </w:r>
                      <w:r>
                        <w:rPr>
                          <w:rFonts w:ascii="Times New Roman" w:eastAsia="楷体" w:hAnsi="Times New Roman" w:cs="Aharoni" w:hint="eastAsia"/>
                          <w:bCs/>
                          <w:iCs/>
                          <w:color w:val="000000" w:themeColor="text1"/>
                          <w:sz w:val="21"/>
                          <w:szCs w:val="21"/>
                          <w:lang w:eastAsia="zh-CN"/>
                        </w:rPr>
                        <w:t>2</w:t>
                      </w:r>
                      <w:r>
                        <w:rPr>
                          <w:rFonts w:ascii="Times New Roman" w:eastAsia="楷体" w:hAnsi="Times New Roman" w:cs="Aharoni"/>
                          <w:bCs/>
                          <w:iCs/>
                          <w:color w:val="000000" w:themeColor="text1"/>
                          <w:sz w:val="21"/>
                          <w:szCs w:val="21"/>
                          <w:lang w:eastAsia="zh-CN"/>
                        </w:rPr>
                        <w:t>019</w:t>
                      </w:r>
                      <w:r>
                        <w:rPr>
                          <w:rFonts w:ascii="Times New Roman" w:eastAsia="楷体" w:hAnsi="Times New Roman" w:cs="Aharoni"/>
                          <w:bCs/>
                          <w:iCs/>
                          <w:color w:val="000000" w:themeColor="text1"/>
                          <w:sz w:val="21"/>
                          <w:szCs w:val="21"/>
                          <w:lang w:eastAsia="zh-CN"/>
                        </w:rPr>
                        <w:t>年度</w:t>
                      </w:r>
                      <w:r>
                        <w:rPr>
                          <w:rFonts w:ascii="Times New Roman" w:eastAsia="楷体" w:hAnsi="Times New Roman" w:cs="Aharoni" w:hint="eastAsia"/>
                          <w:bCs/>
                          <w:iCs/>
                          <w:color w:val="000000" w:themeColor="text1"/>
                          <w:sz w:val="21"/>
                          <w:szCs w:val="21"/>
                          <w:lang w:eastAsia="zh-CN"/>
                        </w:rPr>
                        <w:t>业绩，部分业绩亮眼的公司为板块表现提供了一定支持，同时</w:t>
                      </w:r>
                      <w:r>
                        <w:rPr>
                          <w:rFonts w:ascii="Times New Roman" w:eastAsia="楷体" w:hAnsi="Times New Roman" w:cs="Aharoni" w:hint="eastAsia"/>
                          <w:bCs/>
                          <w:iCs/>
                          <w:color w:val="000000" w:themeColor="text1"/>
                          <w:sz w:val="21"/>
                          <w:szCs w:val="21"/>
                          <w:lang w:eastAsia="zh-CN"/>
                        </w:rPr>
                        <w:t>3</w:t>
                      </w:r>
                      <w:r>
                        <w:rPr>
                          <w:rFonts w:ascii="Times New Roman" w:eastAsia="楷体" w:hAnsi="Times New Roman" w:cs="Aharoni"/>
                          <w:bCs/>
                          <w:iCs/>
                          <w:color w:val="000000" w:themeColor="text1"/>
                          <w:sz w:val="21"/>
                          <w:szCs w:val="21"/>
                          <w:lang w:eastAsia="zh-CN"/>
                        </w:rPr>
                        <w:t>月</w:t>
                      </w:r>
                      <w:r>
                        <w:rPr>
                          <w:rFonts w:ascii="Times New Roman" w:eastAsia="楷体" w:hAnsi="Times New Roman" w:cs="Aharoni" w:hint="eastAsia"/>
                          <w:bCs/>
                          <w:iCs/>
                          <w:color w:val="000000" w:themeColor="text1"/>
                          <w:sz w:val="21"/>
                          <w:szCs w:val="21"/>
                          <w:lang w:eastAsia="zh-CN"/>
                        </w:rPr>
                        <w:t>销售数据明显回暖，预计</w:t>
                      </w:r>
                      <w:r>
                        <w:rPr>
                          <w:rFonts w:ascii="Times New Roman" w:eastAsia="楷体" w:hAnsi="Times New Roman" w:cs="Aharoni" w:hint="eastAsia"/>
                          <w:bCs/>
                          <w:iCs/>
                          <w:color w:val="000000" w:themeColor="text1"/>
                          <w:sz w:val="21"/>
                          <w:szCs w:val="21"/>
                          <w:lang w:eastAsia="zh-CN"/>
                        </w:rPr>
                        <w:t>4</w:t>
                      </w:r>
                      <w:r>
                        <w:rPr>
                          <w:rFonts w:ascii="Times New Roman" w:eastAsia="楷体" w:hAnsi="Times New Roman" w:cs="Aharoni"/>
                          <w:bCs/>
                          <w:iCs/>
                          <w:color w:val="000000" w:themeColor="text1"/>
                          <w:sz w:val="21"/>
                          <w:szCs w:val="21"/>
                          <w:lang w:eastAsia="zh-CN"/>
                        </w:rPr>
                        <w:t>月</w:t>
                      </w:r>
                      <w:r>
                        <w:rPr>
                          <w:rFonts w:ascii="Times New Roman" w:eastAsia="楷体" w:hAnsi="Times New Roman" w:cs="Aharoni" w:hint="eastAsia"/>
                          <w:bCs/>
                          <w:iCs/>
                          <w:color w:val="000000" w:themeColor="text1"/>
                          <w:sz w:val="21"/>
                          <w:szCs w:val="21"/>
                          <w:lang w:eastAsia="zh-CN"/>
                        </w:rPr>
                        <w:t>行业基本面将持续改善。维持行业“强于大市”评级。</w:t>
                      </w:r>
                    </w:p>
                  </w:txbxContent>
                </v:textbox>
              </v:shape>
            </w:pict>
          </mc:Fallback>
        </mc:AlternateContent>
      </w:r>
    </w:p>
    <w:p w14:paraId="415C80E3" w14:textId="32C1CED0" w:rsidR="002151E9" w:rsidRPr="001F5B42" w:rsidRDefault="002151E9" w:rsidP="002151E9">
      <w:pPr>
        <w:rPr>
          <w:rFonts w:cs="Times New Roman"/>
        </w:rPr>
      </w:pPr>
    </w:p>
    <w:p w14:paraId="14C96C05" w14:textId="6FEDE2A5" w:rsidR="002151E9" w:rsidRPr="001F5B42" w:rsidRDefault="002151E9" w:rsidP="002151E9">
      <w:pPr>
        <w:rPr>
          <w:rFonts w:cs="Times New Roman"/>
        </w:rPr>
      </w:pPr>
    </w:p>
    <w:p w14:paraId="0E41B058" w14:textId="6380C1EF" w:rsidR="002151E9" w:rsidRPr="001F5B42" w:rsidRDefault="00511E5C" w:rsidP="002151E9">
      <w:pPr>
        <w:rPr>
          <w:rFonts w:cs="Times New Roman"/>
        </w:rPr>
      </w:pPr>
      <w:r w:rsidRPr="001F5B42">
        <w:rPr>
          <w:rFonts w:cs="Times New Roman"/>
          <w:b/>
          <w:noProof/>
        </w:rPr>
        <mc:AlternateContent>
          <mc:Choice Requires="wps">
            <w:drawing>
              <wp:anchor distT="0" distB="0" distL="114300" distR="114300" simplePos="0" relativeHeight="251676672" behindDoc="0" locked="0" layoutInCell="1" allowOverlap="1" wp14:anchorId="25C82553" wp14:editId="3442D8F7">
                <wp:simplePos x="0" y="0"/>
                <wp:positionH relativeFrom="column">
                  <wp:posOffset>4978400</wp:posOffset>
                </wp:positionH>
                <wp:positionV relativeFrom="paragraph">
                  <wp:posOffset>264160</wp:posOffset>
                </wp:positionV>
                <wp:extent cx="1923415" cy="29591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923415" cy="295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4AA5FD" w14:textId="77777777" w:rsidR="00307227" w:rsidRPr="001C5277" w:rsidRDefault="00307227" w:rsidP="00F862AC">
                            <w:pPr>
                              <w:pStyle w:val="a5"/>
                              <w:jc w:val="right"/>
                              <w:rPr>
                                <w:rFonts w:ascii="楷体" w:eastAsia="楷体" w:hAnsi="楷体" w:cs="Times New Roman"/>
                                <w:b/>
                                <w:sz w:val="21"/>
                                <w:szCs w:val="21"/>
                                <w:lang w:eastAsia="zh-CN"/>
                              </w:rPr>
                            </w:pPr>
                            <w:r w:rsidRPr="001C5277">
                              <w:rPr>
                                <w:rFonts w:ascii="楷体" w:eastAsia="楷体" w:hAnsi="楷体" w:cs="Times New Roman" w:hint="eastAsia"/>
                                <w:b/>
                                <w:sz w:val="21"/>
                                <w:szCs w:val="21"/>
                                <w:lang w:eastAsia="zh-CN"/>
                              </w:rPr>
                              <w:t>申思聪</w:t>
                            </w:r>
                          </w:p>
                          <w:p w14:paraId="2ECEA205" w14:textId="77777777" w:rsidR="00307227" w:rsidRPr="001C5277" w:rsidRDefault="00307227" w:rsidP="00F862AC">
                            <w:pPr>
                              <w:pStyle w:val="a5"/>
                              <w:jc w:val="right"/>
                              <w:rPr>
                                <w:rFonts w:ascii="楷体" w:eastAsia="楷体" w:hAnsi="楷体" w:cs="Times New Roman"/>
                                <w:sz w:val="21"/>
                                <w:szCs w:val="21"/>
                                <w:lang w:eastAsia="zh-CN"/>
                              </w:rPr>
                            </w:pPr>
                            <w:r w:rsidRPr="001C5277">
                              <w:rPr>
                                <w:rFonts w:ascii="楷体" w:eastAsia="楷体" w:hAnsi="楷体" w:cs="Times New Roman" w:hint="eastAsia"/>
                                <w:sz w:val="21"/>
                                <w:szCs w:val="21"/>
                                <w:lang w:eastAsia="zh-CN"/>
                              </w:rPr>
                              <w:t>分析师</w:t>
                            </w:r>
                          </w:p>
                          <w:p w14:paraId="482A5BC1" w14:textId="77777777" w:rsidR="00307227" w:rsidRPr="00F77451" w:rsidRDefault="00307227" w:rsidP="00F862AC">
                            <w:pPr>
                              <w:pStyle w:val="a5"/>
                              <w:jc w:val="right"/>
                              <w:rPr>
                                <w:rFonts w:ascii="Times New Roman" w:hAnsi="Times New Roman" w:cs="Times New Roman"/>
                                <w:sz w:val="21"/>
                                <w:szCs w:val="21"/>
                              </w:rPr>
                            </w:pPr>
                            <w:r>
                              <w:rPr>
                                <w:rFonts w:ascii="Times New Roman" w:hAnsi="Times New Roman" w:cs="Times New Roman"/>
                                <w:sz w:val="21"/>
                                <w:szCs w:val="21"/>
                              </w:rPr>
                              <w:t>+852 3958 4699</w:t>
                            </w:r>
                          </w:p>
                          <w:p w14:paraId="1C0ECEF6" w14:textId="77777777" w:rsidR="00307227" w:rsidRDefault="00307227" w:rsidP="00F862AC">
                            <w:pPr>
                              <w:pStyle w:val="a5"/>
                              <w:jc w:val="right"/>
                              <w:rPr>
                                <w:rFonts w:ascii="Times New Roman" w:hAnsi="Times New Roman" w:cs="Times New Roman"/>
                                <w:sz w:val="21"/>
                                <w:szCs w:val="21"/>
                              </w:rPr>
                            </w:pPr>
                            <w:bookmarkStart w:id="1" w:name="_Hlk19559260"/>
                            <w:r w:rsidRPr="002C0BA1">
                              <w:rPr>
                                <w:rFonts w:ascii="Times New Roman" w:hAnsi="Times New Roman" w:cs="Times New Roman"/>
                                <w:sz w:val="21"/>
                                <w:szCs w:val="21"/>
                              </w:rPr>
                              <w:t>shensicong@cw</w:t>
                            </w:r>
                            <w:r>
                              <w:rPr>
                                <w:rFonts w:ascii="Times New Roman" w:hAnsi="Times New Roman" w:cs="Times New Roman"/>
                                <w:sz w:val="21"/>
                                <w:szCs w:val="21"/>
                              </w:rPr>
                              <w:t>ghl.com</w:t>
                            </w:r>
                          </w:p>
                          <w:p w14:paraId="7F2670A8" w14:textId="77777777" w:rsidR="00307227" w:rsidRPr="002C0BA1" w:rsidRDefault="00307227" w:rsidP="00F862AC">
                            <w:pPr>
                              <w:pStyle w:val="a5"/>
                              <w:jc w:val="right"/>
                              <w:rPr>
                                <w:rFonts w:ascii="Times New Roman" w:eastAsia="PMingLiU" w:hAnsi="Times New Roman" w:cs="Times New Roman"/>
                                <w:sz w:val="21"/>
                                <w:szCs w:val="21"/>
                              </w:rPr>
                            </w:pPr>
                            <w:r w:rsidRPr="002C0BA1">
                              <w:rPr>
                                <w:rFonts w:ascii="Times New Roman" w:eastAsia="PMingLiU" w:hAnsi="Times New Roman" w:cs="Times New Roman"/>
                                <w:sz w:val="21"/>
                                <w:szCs w:val="21"/>
                              </w:rPr>
                              <w:t xml:space="preserve">SFC </w:t>
                            </w:r>
                            <w:r>
                              <w:rPr>
                                <w:rFonts w:ascii="Times New Roman" w:eastAsia="PMingLiU" w:hAnsi="Times New Roman" w:cs="Times New Roman"/>
                                <w:sz w:val="21"/>
                                <w:szCs w:val="21"/>
                              </w:rPr>
                              <w:t xml:space="preserve">CE </w:t>
                            </w:r>
                            <w:r w:rsidRPr="002C0BA1">
                              <w:rPr>
                                <w:rFonts w:ascii="Times New Roman" w:eastAsia="PMingLiU" w:hAnsi="Times New Roman" w:cs="Times New Roman"/>
                                <w:sz w:val="21"/>
                                <w:szCs w:val="21"/>
                              </w:rPr>
                              <w:t>Ref: BNF 348</w:t>
                            </w:r>
                          </w:p>
                          <w:bookmarkEnd w:id="1"/>
                          <w:p w14:paraId="00BCCD34" w14:textId="77777777" w:rsidR="00307227" w:rsidRDefault="00307227" w:rsidP="00F862AC">
                            <w:pPr>
                              <w:pStyle w:val="a5"/>
                              <w:jc w:val="right"/>
                              <w:rPr>
                                <w:rFonts w:ascii="Times New Roman" w:eastAsia="PMingLiU" w:hAnsi="Times New Roman" w:cs="Times New Roman"/>
                                <w:sz w:val="21"/>
                                <w:szCs w:val="21"/>
                              </w:rPr>
                            </w:pPr>
                          </w:p>
                          <w:p w14:paraId="6618F438" w14:textId="77777777" w:rsidR="00307227" w:rsidRPr="001C5277" w:rsidRDefault="00307227" w:rsidP="00F862AC">
                            <w:pPr>
                              <w:pStyle w:val="a5"/>
                              <w:jc w:val="right"/>
                              <w:rPr>
                                <w:rFonts w:ascii="楷体" w:eastAsia="楷体" w:hAnsi="楷体" w:cs="Times New Roman"/>
                                <w:b/>
                                <w:sz w:val="21"/>
                                <w:szCs w:val="21"/>
                                <w:lang w:eastAsia="zh-CN"/>
                              </w:rPr>
                            </w:pPr>
                            <w:r w:rsidRPr="001C5277">
                              <w:rPr>
                                <w:rFonts w:ascii="楷体" w:eastAsia="楷体" w:hAnsi="楷体" w:cs="Times New Roman" w:hint="eastAsia"/>
                                <w:b/>
                                <w:sz w:val="21"/>
                                <w:szCs w:val="21"/>
                                <w:lang w:eastAsia="zh-CN"/>
                              </w:rPr>
                              <w:t>蔡鸿飞</w:t>
                            </w:r>
                          </w:p>
                          <w:p w14:paraId="665DE840" w14:textId="77777777" w:rsidR="00307227" w:rsidRPr="001C5277" w:rsidRDefault="00307227" w:rsidP="00F862AC">
                            <w:pPr>
                              <w:pStyle w:val="a5"/>
                              <w:jc w:val="right"/>
                              <w:rPr>
                                <w:rFonts w:ascii="楷体" w:eastAsia="楷体" w:hAnsi="楷体" w:cs="Times New Roman"/>
                                <w:sz w:val="21"/>
                                <w:szCs w:val="21"/>
                                <w:lang w:eastAsia="zh-CN"/>
                              </w:rPr>
                            </w:pPr>
                            <w:r>
                              <w:rPr>
                                <w:rFonts w:ascii="楷体" w:eastAsia="楷体" w:hAnsi="楷体" w:cs="Times New Roman" w:hint="eastAsia"/>
                                <w:sz w:val="21"/>
                                <w:szCs w:val="21"/>
                                <w:lang w:eastAsia="zh-CN"/>
                              </w:rPr>
                              <w:t>分析师</w:t>
                            </w:r>
                          </w:p>
                          <w:p w14:paraId="3BA3D7BC" w14:textId="77777777" w:rsidR="00307227" w:rsidRPr="00F77451" w:rsidRDefault="00307227" w:rsidP="00F862AC">
                            <w:pPr>
                              <w:pStyle w:val="a5"/>
                              <w:jc w:val="right"/>
                              <w:rPr>
                                <w:rFonts w:ascii="Times New Roman" w:hAnsi="Times New Roman" w:cs="Times New Roman"/>
                                <w:sz w:val="21"/>
                                <w:szCs w:val="21"/>
                              </w:rPr>
                            </w:pPr>
                            <w:r>
                              <w:rPr>
                                <w:rFonts w:ascii="Times New Roman" w:hAnsi="Times New Roman" w:cs="Times New Roman"/>
                                <w:sz w:val="21"/>
                                <w:szCs w:val="21"/>
                              </w:rPr>
                              <w:t>+852 3958 4629</w:t>
                            </w:r>
                          </w:p>
                          <w:p w14:paraId="17982423" w14:textId="77777777" w:rsidR="00307227" w:rsidRDefault="00307227" w:rsidP="00F862AC">
                            <w:pPr>
                              <w:pStyle w:val="a5"/>
                              <w:jc w:val="right"/>
                              <w:rPr>
                                <w:rFonts w:ascii="Times New Roman" w:hAnsi="Times New Roman" w:cs="Times New Roman"/>
                                <w:sz w:val="21"/>
                                <w:szCs w:val="21"/>
                              </w:rPr>
                            </w:pPr>
                            <w:r w:rsidRPr="00495211">
                              <w:rPr>
                                <w:rFonts w:ascii="Times New Roman" w:hAnsi="Times New Roman" w:cs="Times New Roman"/>
                                <w:sz w:val="21"/>
                                <w:szCs w:val="21"/>
                              </w:rPr>
                              <w:t>caihongfei@cwghl.com</w:t>
                            </w:r>
                          </w:p>
                          <w:p w14:paraId="42AF0837" w14:textId="77777777" w:rsidR="00307227" w:rsidRPr="002C0BA1" w:rsidRDefault="00307227" w:rsidP="00F862AC">
                            <w:pPr>
                              <w:pStyle w:val="a5"/>
                              <w:wordWrap w:val="0"/>
                              <w:jc w:val="right"/>
                              <w:rPr>
                                <w:rFonts w:ascii="Times New Roman" w:eastAsia="PMingLiU" w:hAnsi="Times New Roman" w:cs="Times New Roman"/>
                                <w:sz w:val="21"/>
                                <w:szCs w:val="21"/>
                              </w:rPr>
                            </w:pPr>
                            <w:r w:rsidRPr="002C0BA1">
                              <w:rPr>
                                <w:rFonts w:ascii="Times New Roman" w:eastAsia="PMingLiU" w:hAnsi="Times New Roman" w:cs="Times New Roman"/>
                                <w:sz w:val="21"/>
                                <w:szCs w:val="21"/>
                              </w:rPr>
                              <w:t xml:space="preserve">SFC </w:t>
                            </w:r>
                            <w:r>
                              <w:rPr>
                                <w:rFonts w:ascii="Times New Roman" w:eastAsia="PMingLiU" w:hAnsi="Times New Roman" w:cs="Times New Roman"/>
                                <w:sz w:val="21"/>
                                <w:szCs w:val="21"/>
                              </w:rPr>
                              <w:t xml:space="preserve">CE </w:t>
                            </w:r>
                            <w:r w:rsidRPr="002C0BA1">
                              <w:rPr>
                                <w:rFonts w:ascii="Times New Roman" w:eastAsia="PMingLiU" w:hAnsi="Times New Roman" w:cs="Times New Roman"/>
                                <w:sz w:val="21"/>
                                <w:szCs w:val="21"/>
                              </w:rPr>
                              <w:t>Ref: B</w:t>
                            </w:r>
                            <w:r>
                              <w:rPr>
                                <w:rFonts w:ascii="Times New Roman" w:eastAsia="PMingLiU" w:hAnsi="Times New Roman" w:cs="Times New Roman"/>
                                <w:sz w:val="21"/>
                                <w:szCs w:val="21"/>
                              </w:rPr>
                              <w:t>PK 909</w:t>
                            </w:r>
                          </w:p>
                          <w:p w14:paraId="4FDAF3FB" w14:textId="77777777" w:rsidR="00307227" w:rsidRPr="00A11852" w:rsidRDefault="00307227" w:rsidP="00F862AC">
                            <w:pPr>
                              <w:pStyle w:val="a5"/>
                              <w:wordWrap w:val="0"/>
                              <w:ind w:right="210"/>
                              <w:jc w:val="right"/>
                              <w:rPr>
                                <w:rFonts w:ascii="Times New Roman" w:hAnsi="Times New Roman" w:cs="Times New Roman"/>
                                <w:sz w:val="21"/>
                                <w:szCs w:val="21"/>
                                <w:lang w:eastAsia="zh-CN"/>
                              </w:rPr>
                            </w:pP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
                          <w:p w14:paraId="1DCEC166" w14:textId="77777777" w:rsidR="00307227" w:rsidRPr="00521E36" w:rsidRDefault="00307227" w:rsidP="00F862AC">
                            <w:pPr>
                              <w:pStyle w:val="a5"/>
                              <w:jc w:val="right"/>
                              <w:rPr>
                                <w:rFonts w:ascii="楷体" w:eastAsia="楷体" w:hAnsi="楷体" w:cs="Times New Roman"/>
                                <w:b/>
                                <w:sz w:val="21"/>
                                <w:szCs w:val="21"/>
                                <w:lang w:eastAsia="zh-CN"/>
                              </w:rPr>
                            </w:pPr>
                            <w:r w:rsidRPr="00521E36">
                              <w:rPr>
                                <w:rFonts w:ascii="楷体" w:eastAsia="楷体" w:hAnsi="楷体" w:cs="Times New Roman" w:hint="eastAsia"/>
                                <w:b/>
                                <w:sz w:val="21"/>
                                <w:szCs w:val="21"/>
                                <w:lang w:eastAsia="zh-CN"/>
                              </w:rPr>
                              <w:t>诸葛莲昕</w:t>
                            </w:r>
                          </w:p>
                          <w:p w14:paraId="1FDE1809" w14:textId="77777777" w:rsidR="00307227" w:rsidRPr="00521E36" w:rsidRDefault="00307227" w:rsidP="00F862AC">
                            <w:pPr>
                              <w:pStyle w:val="a5"/>
                              <w:jc w:val="right"/>
                              <w:rPr>
                                <w:rFonts w:ascii="楷体" w:eastAsia="楷体" w:hAnsi="楷体" w:cs="Times New Roman"/>
                                <w:sz w:val="21"/>
                                <w:szCs w:val="21"/>
                                <w:lang w:eastAsia="zh-CN"/>
                              </w:rPr>
                            </w:pPr>
                            <w:r>
                              <w:rPr>
                                <w:rFonts w:ascii="楷体" w:eastAsia="楷体" w:hAnsi="楷体" w:cs="Times New Roman" w:hint="eastAsia"/>
                                <w:sz w:val="21"/>
                                <w:szCs w:val="21"/>
                                <w:lang w:eastAsia="zh-CN"/>
                              </w:rPr>
                              <w:t>分析师</w:t>
                            </w:r>
                          </w:p>
                          <w:p w14:paraId="264CCAAB" w14:textId="77777777" w:rsidR="00307227" w:rsidRDefault="00307227" w:rsidP="00F862AC">
                            <w:pPr>
                              <w:pStyle w:val="a5"/>
                              <w:jc w:val="right"/>
                              <w:rPr>
                                <w:rFonts w:ascii="Times New Roman" w:hAnsi="Times New Roman" w:cs="Times New Roman"/>
                                <w:sz w:val="21"/>
                                <w:szCs w:val="21"/>
                              </w:rPr>
                            </w:pPr>
                            <w:r>
                              <w:rPr>
                                <w:rFonts w:ascii="Times New Roman" w:hAnsi="Times New Roman" w:cs="Times New Roman" w:hint="eastAsia"/>
                                <w:sz w:val="21"/>
                                <w:szCs w:val="21"/>
                              </w:rPr>
                              <w:t>+</w:t>
                            </w:r>
                            <w:r>
                              <w:rPr>
                                <w:rFonts w:ascii="Times New Roman" w:hAnsi="Times New Roman" w:cs="Times New Roman"/>
                                <w:sz w:val="21"/>
                                <w:szCs w:val="21"/>
                              </w:rPr>
                              <w:t>852 3700 7094</w:t>
                            </w:r>
                          </w:p>
                          <w:p w14:paraId="6B07BAD7" w14:textId="77777777" w:rsidR="00307227" w:rsidRDefault="00307227" w:rsidP="00F862AC">
                            <w:pPr>
                              <w:pStyle w:val="a5"/>
                              <w:jc w:val="right"/>
                              <w:rPr>
                                <w:rFonts w:ascii="Times New Roman" w:hAnsi="Times New Roman" w:cs="Times New Roman"/>
                                <w:sz w:val="21"/>
                                <w:szCs w:val="21"/>
                              </w:rPr>
                            </w:pPr>
                            <w:r w:rsidRPr="00495211">
                              <w:rPr>
                                <w:rFonts w:ascii="Times New Roman" w:hAnsi="Times New Roman" w:cs="Times New Roman" w:hint="eastAsia"/>
                                <w:sz w:val="21"/>
                                <w:szCs w:val="21"/>
                              </w:rPr>
                              <w:t>z</w:t>
                            </w:r>
                            <w:r w:rsidRPr="00495211">
                              <w:rPr>
                                <w:rFonts w:ascii="Times New Roman" w:hAnsi="Times New Roman" w:cs="Times New Roman"/>
                                <w:sz w:val="21"/>
                                <w:szCs w:val="21"/>
                              </w:rPr>
                              <w:t>hugelianxin@cwghl.com</w:t>
                            </w:r>
                          </w:p>
                          <w:p w14:paraId="2297B734" w14:textId="77777777" w:rsidR="00307227" w:rsidRPr="002C0BA1" w:rsidRDefault="00307227" w:rsidP="00F862AC">
                            <w:pPr>
                              <w:pStyle w:val="a5"/>
                              <w:wordWrap w:val="0"/>
                              <w:jc w:val="right"/>
                              <w:rPr>
                                <w:rFonts w:ascii="Times New Roman" w:eastAsia="PMingLiU" w:hAnsi="Times New Roman" w:cs="Times New Roman"/>
                                <w:sz w:val="21"/>
                                <w:szCs w:val="21"/>
                              </w:rPr>
                            </w:pPr>
                            <w:r w:rsidRPr="002C0BA1">
                              <w:rPr>
                                <w:rFonts w:ascii="Times New Roman" w:eastAsia="PMingLiU" w:hAnsi="Times New Roman" w:cs="Times New Roman"/>
                                <w:sz w:val="21"/>
                                <w:szCs w:val="21"/>
                              </w:rPr>
                              <w:t xml:space="preserve">SFC </w:t>
                            </w:r>
                            <w:r>
                              <w:rPr>
                                <w:rFonts w:ascii="Times New Roman" w:eastAsia="PMingLiU" w:hAnsi="Times New Roman" w:cs="Times New Roman"/>
                                <w:sz w:val="21"/>
                                <w:szCs w:val="21"/>
                              </w:rPr>
                              <w:t xml:space="preserve">CE </w:t>
                            </w:r>
                            <w:r w:rsidRPr="002C0BA1">
                              <w:rPr>
                                <w:rFonts w:ascii="Times New Roman" w:eastAsia="PMingLiU" w:hAnsi="Times New Roman" w:cs="Times New Roman"/>
                                <w:sz w:val="21"/>
                                <w:szCs w:val="21"/>
                              </w:rPr>
                              <w:t>Ref: B</w:t>
                            </w:r>
                            <w:r>
                              <w:rPr>
                                <w:rFonts w:ascii="Times New Roman" w:eastAsia="PMingLiU" w:hAnsi="Times New Roman" w:cs="Times New Roman"/>
                                <w:sz w:val="21"/>
                                <w:szCs w:val="21"/>
                              </w:rPr>
                              <w:t>PK 789</w:t>
                            </w:r>
                          </w:p>
                          <w:p w14:paraId="1002DC22" w14:textId="77777777" w:rsidR="00307227" w:rsidRPr="00F862AC" w:rsidRDefault="00307227" w:rsidP="00202059">
                            <w:pPr>
                              <w:pStyle w:val="a5"/>
                              <w:jc w:val="right"/>
                              <w:rPr>
                                <w:rFonts w:ascii="Times New Roman" w:eastAsia="PMingLiU" w:hAnsi="Times New Roman" w:cs="Times New Roman"/>
                                <w:sz w:val="21"/>
                                <w:szCs w:val="21"/>
                              </w:rPr>
                            </w:pPr>
                          </w:p>
                          <w:p w14:paraId="4EA9FEE9" w14:textId="77777777" w:rsidR="00307227" w:rsidRPr="00202059" w:rsidRDefault="00307227" w:rsidP="0035223F">
                            <w:pPr>
                              <w:pStyle w:val="a5"/>
                              <w:jc w:val="right"/>
                              <w:rPr>
                                <w:rFonts w:ascii="Times New Roman" w:eastAsia="PMingLiU" w:hAnsi="Times New Roman" w:cs="Times New Roman"/>
                                <w:sz w:val="21"/>
                                <w:szCs w:val="2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82553" id="文本框 11" o:spid="_x0000_s1033" type="#_x0000_t202" style="position:absolute;left:0;text-align:left;margin-left:392pt;margin-top:20.8pt;width:151.45pt;height:2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" filled="f" stroked="f" strokeweight=".5pt">
                <v:textbox>
                  <w:txbxContent>
                    <w:p w14:paraId="344AA5FD" w14:textId="77777777" w:rsidR="00307227" w:rsidRPr="001C5277" w:rsidRDefault="00307227" w:rsidP="00F862AC">
                      <w:pPr>
                        <w:pStyle w:val="a5"/>
                        <w:jc w:val="right"/>
                        <w:rPr>
                          <w:rFonts w:ascii="楷体" w:eastAsia="楷体" w:hAnsi="楷体" w:cs="Times New Roman"/>
                          <w:b/>
                          <w:sz w:val="21"/>
                          <w:szCs w:val="21"/>
                          <w:lang w:eastAsia="zh-CN"/>
                        </w:rPr>
                      </w:pPr>
                      <w:r w:rsidRPr="001C5277">
                        <w:rPr>
                          <w:rFonts w:ascii="楷体" w:eastAsia="楷体" w:hAnsi="楷体" w:cs="Times New Roman" w:hint="eastAsia"/>
                          <w:b/>
                          <w:sz w:val="21"/>
                          <w:szCs w:val="21"/>
                          <w:lang w:eastAsia="zh-CN"/>
                        </w:rPr>
                        <w:t>申思聪</w:t>
                      </w:r>
                    </w:p>
                    <w:p w14:paraId="2ECEA205" w14:textId="77777777" w:rsidR="00307227" w:rsidRPr="001C5277" w:rsidRDefault="00307227" w:rsidP="00F862AC">
                      <w:pPr>
                        <w:pStyle w:val="a5"/>
                        <w:jc w:val="right"/>
                        <w:rPr>
                          <w:rFonts w:ascii="楷体" w:eastAsia="楷体" w:hAnsi="楷体" w:cs="Times New Roman"/>
                          <w:sz w:val="21"/>
                          <w:szCs w:val="21"/>
                          <w:lang w:eastAsia="zh-CN"/>
                        </w:rPr>
                      </w:pPr>
                      <w:r w:rsidRPr="001C5277">
                        <w:rPr>
                          <w:rFonts w:ascii="楷体" w:eastAsia="楷体" w:hAnsi="楷体" w:cs="Times New Roman" w:hint="eastAsia"/>
                          <w:sz w:val="21"/>
                          <w:szCs w:val="21"/>
                          <w:lang w:eastAsia="zh-CN"/>
                        </w:rPr>
                        <w:t>分析师</w:t>
                      </w:r>
                    </w:p>
                    <w:p w14:paraId="482A5BC1" w14:textId="77777777" w:rsidR="00307227" w:rsidRPr="00F77451" w:rsidRDefault="00307227" w:rsidP="00F862AC">
                      <w:pPr>
                        <w:pStyle w:val="a5"/>
                        <w:jc w:val="right"/>
                        <w:rPr>
                          <w:rFonts w:ascii="Times New Roman" w:hAnsi="Times New Roman" w:cs="Times New Roman"/>
                          <w:sz w:val="21"/>
                          <w:szCs w:val="21"/>
                        </w:rPr>
                      </w:pPr>
                      <w:r>
                        <w:rPr>
                          <w:rFonts w:ascii="Times New Roman" w:hAnsi="Times New Roman" w:cs="Times New Roman"/>
                          <w:sz w:val="21"/>
                          <w:szCs w:val="21"/>
                        </w:rPr>
                        <w:t>+852 3958 4699</w:t>
                      </w:r>
                    </w:p>
                    <w:p w14:paraId="1C0ECEF6" w14:textId="77777777" w:rsidR="00307227" w:rsidRDefault="00307227" w:rsidP="00F862AC">
                      <w:pPr>
                        <w:pStyle w:val="a5"/>
                        <w:jc w:val="right"/>
                        <w:rPr>
                          <w:rFonts w:ascii="Times New Roman" w:hAnsi="Times New Roman" w:cs="Times New Roman"/>
                          <w:sz w:val="21"/>
                          <w:szCs w:val="21"/>
                        </w:rPr>
                      </w:pPr>
                      <w:bookmarkStart w:id="3" w:name="_Hlk19559260"/>
                      <w:r w:rsidRPr="002C0BA1">
                        <w:rPr>
                          <w:rFonts w:ascii="Times New Roman" w:hAnsi="Times New Roman" w:cs="Times New Roman"/>
                          <w:sz w:val="21"/>
                          <w:szCs w:val="21"/>
                        </w:rPr>
                        <w:t>shensicong@cw</w:t>
                      </w:r>
                      <w:r>
                        <w:rPr>
                          <w:rFonts w:ascii="Times New Roman" w:hAnsi="Times New Roman" w:cs="Times New Roman"/>
                          <w:sz w:val="21"/>
                          <w:szCs w:val="21"/>
                        </w:rPr>
                        <w:t>ghl.com</w:t>
                      </w:r>
                    </w:p>
                    <w:p w14:paraId="7F2670A8" w14:textId="77777777" w:rsidR="00307227" w:rsidRPr="002C0BA1" w:rsidRDefault="00307227" w:rsidP="00F862AC">
                      <w:pPr>
                        <w:pStyle w:val="a5"/>
                        <w:jc w:val="right"/>
                        <w:rPr>
                          <w:rFonts w:ascii="Times New Roman" w:eastAsia="PMingLiU" w:hAnsi="Times New Roman" w:cs="Times New Roman"/>
                          <w:sz w:val="21"/>
                          <w:szCs w:val="21"/>
                        </w:rPr>
                      </w:pPr>
                      <w:r w:rsidRPr="002C0BA1">
                        <w:rPr>
                          <w:rFonts w:ascii="Times New Roman" w:eastAsia="PMingLiU" w:hAnsi="Times New Roman" w:cs="Times New Roman"/>
                          <w:sz w:val="21"/>
                          <w:szCs w:val="21"/>
                        </w:rPr>
                        <w:t xml:space="preserve">SFC </w:t>
                      </w:r>
                      <w:r>
                        <w:rPr>
                          <w:rFonts w:ascii="Times New Roman" w:eastAsia="PMingLiU" w:hAnsi="Times New Roman" w:cs="Times New Roman"/>
                          <w:sz w:val="21"/>
                          <w:szCs w:val="21"/>
                        </w:rPr>
                        <w:t xml:space="preserve">CE </w:t>
                      </w:r>
                      <w:r w:rsidRPr="002C0BA1">
                        <w:rPr>
                          <w:rFonts w:ascii="Times New Roman" w:eastAsia="PMingLiU" w:hAnsi="Times New Roman" w:cs="Times New Roman"/>
                          <w:sz w:val="21"/>
                          <w:szCs w:val="21"/>
                        </w:rPr>
                        <w:t>Ref: BNF 348</w:t>
                      </w:r>
                    </w:p>
                    <w:bookmarkEnd w:id="3"/>
                    <w:p w14:paraId="00BCCD34" w14:textId="77777777" w:rsidR="00307227" w:rsidRDefault="00307227" w:rsidP="00F862AC">
                      <w:pPr>
                        <w:pStyle w:val="a5"/>
                        <w:jc w:val="right"/>
                        <w:rPr>
                          <w:rFonts w:ascii="Times New Roman" w:eastAsia="PMingLiU" w:hAnsi="Times New Roman" w:cs="Times New Roman"/>
                          <w:sz w:val="21"/>
                          <w:szCs w:val="21"/>
                        </w:rPr>
                      </w:pPr>
                    </w:p>
                    <w:p w14:paraId="6618F438" w14:textId="77777777" w:rsidR="00307227" w:rsidRPr="001C5277" w:rsidRDefault="00307227" w:rsidP="00F862AC">
                      <w:pPr>
                        <w:pStyle w:val="a5"/>
                        <w:jc w:val="right"/>
                        <w:rPr>
                          <w:rFonts w:ascii="楷体" w:eastAsia="楷体" w:hAnsi="楷体" w:cs="Times New Roman"/>
                          <w:b/>
                          <w:sz w:val="21"/>
                          <w:szCs w:val="21"/>
                          <w:lang w:eastAsia="zh-CN"/>
                        </w:rPr>
                      </w:pPr>
                      <w:r w:rsidRPr="001C5277">
                        <w:rPr>
                          <w:rFonts w:ascii="楷体" w:eastAsia="楷体" w:hAnsi="楷体" w:cs="Times New Roman" w:hint="eastAsia"/>
                          <w:b/>
                          <w:sz w:val="21"/>
                          <w:szCs w:val="21"/>
                          <w:lang w:eastAsia="zh-CN"/>
                        </w:rPr>
                        <w:t>蔡鸿飞</w:t>
                      </w:r>
                    </w:p>
                    <w:p w14:paraId="665DE840" w14:textId="77777777" w:rsidR="00307227" w:rsidRPr="001C5277" w:rsidRDefault="00307227" w:rsidP="00F862AC">
                      <w:pPr>
                        <w:pStyle w:val="a5"/>
                        <w:jc w:val="right"/>
                        <w:rPr>
                          <w:rFonts w:ascii="楷体" w:eastAsia="楷体" w:hAnsi="楷体" w:cs="Times New Roman"/>
                          <w:sz w:val="21"/>
                          <w:szCs w:val="21"/>
                          <w:lang w:eastAsia="zh-CN"/>
                        </w:rPr>
                      </w:pPr>
                      <w:r>
                        <w:rPr>
                          <w:rFonts w:ascii="楷体" w:eastAsia="楷体" w:hAnsi="楷体" w:cs="Times New Roman" w:hint="eastAsia"/>
                          <w:sz w:val="21"/>
                          <w:szCs w:val="21"/>
                          <w:lang w:eastAsia="zh-CN"/>
                        </w:rPr>
                        <w:t>分析师</w:t>
                      </w:r>
                    </w:p>
                    <w:p w14:paraId="3BA3D7BC" w14:textId="77777777" w:rsidR="00307227" w:rsidRPr="00F77451" w:rsidRDefault="00307227" w:rsidP="00F862AC">
                      <w:pPr>
                        <w:pStyle w:val="a5"/>
                        <w:jc w:val="right"/>
                        <w:rPr>
                          <w:rFonts w:ascii="Times New Roman" w:hAnsi="Times New Roman" w:cs="Times New Roman"/>
                          <w:sz w:val="21"/>
                          <w:szCs w:val="21"/>
                        </w:rPr>
                      </w:pPr>
                      <w:r>
                        <w:rPr>
                          <w:rFonts w:ascii="Times New Roman" w:hAnsi="Times New Roman" w:cs="Times New Roman"/>
                          <w:sz w:val="21"/>
                          <w:szCs w:val="21"/>
                        </w:rPr>
                        <w:t>+852 3958 4629</w:t>
                      </w:r>
                    </w:p>
                    <w:p w14:paraId="17982423" w14:textId="77777777" w:rsidR="00307227" w:rsidRDefault="00307227" w:rsidP="00F862AC">
                      <w:pPr>
                        <w:pStyle w:val="a5"/>
                        <w:jc w:val="right"/>
                        <w:rPr>
                          <w:rFonts w:ascii="Times New Roman" w:hAnsi="Times New Roman" w:cs="Times New Roman"/>
                          <w:sz w:val="21"/>
                          <w:szCs w:val="21"/>
                        </w:rPr>
                      </w:pPr>
                      <w:r w:rsidRPr="00495211">
                        <w:rPr>
                          <w:rFonts w:ascii="Times New Roman" w:hAnsi="Times New Roman" w:cs="Times New Roman"/>
                          <w:sz w:val="21"/>
                          <w:szCs w:val="21"/>
                        </w:rPr>
                        <w:t>caihongfei@cwghl.com</w:t>
                      </w:r>
                    </w:p>
                    <w:p w14:paraId="42AF0837" w14:textId="77777777" w:rsidR="00307227" w:rsidRPr="002C0BA1" w:rsidRDefault="00307227" w:rsidP="00F862AC">
                      <w:pPr>
                        <w:pStyle w:val="a5"/>
                        <w:wordWrap w:val="0"/>
                        <w:jc w:val="right"/>
                        <w:rPr>
                          <w:rFonts w:ascii="Times New Roman" w:eastAsia="PMingLiU" w:hAnsi="Times New Roman" w:cs="Times New Roman"/>
                          <w:sz w:val="21"/>
                          <w:szCs w:val="21"/>
                        </w:rPr>
                      </w:pPr>
                      <w:r w:rsidRPr="002C0BA1">
                        <w:rPr>
                          <w:rFonts w:ascii="Times New Roman" w:eastAsia="PMingLiU" w:hAnsi="Times New Roman" w:cs="Times New Roman"/>
                          <w:sz w:val="21"/>
                          <w:szCs w:val="21"/>
                        </w:rPr>
                        <w:t xml:space="preserve">SFC </w:t>
                      </w:r>
                      <w:r>
                        <w:rPr>
                          <w:rFonts w:ascii="Times New Roman" w:eastAsia="PMingLiU" w:hAnsi="Times New Roman" w:cs="Times New Roman"/>
                          <w:sz w:val="21"/>
                          <w:szCs w:val="21"/>
                        </w:rPr>
                        <w:t xml:space="preserve">CE </w:t>
                      </w:r>
                      <w:r w:rsidRPr="002C0BA1">
                        <w:rPr>
                          <w:rFonts w:ascii="Times New Roman" w:eastAsia="PMingLiU" w:hAnsi="Times New Roman" w:cs="Times New Roman"/>
                          <w:sz w:val="21"/>
                          <w:szCs w:val="21"/>
                        </w:rPr>
                        <w:t>Ref: B</w:t>
                      </w:r>
                      <w:r>
                        <w:rPr>
                          <w:rFonts w:ascii="Times New Roman" w:eastAsia="PMingLiU" w:hAnsi="Times New Roman" w:cs="Times New Roman"/>
                          <w:sz w:val="21"/>
                          <w:szCs w:val="21"/>
                        </w:rPr>
                        <w:t>PK 909</w:t>
                      </w:r>
                    </w:p>
                    <w:p w14:paraId="4FDAF3FB" w14:textId="77777777" w:rsidR="00307227" w:rsidRPr="00A11852" w:rsidRDefault="00307227" w:rsidP="00F862AC">
                      <w:pPr>
                        <w:pStyle w:val="a5"/>
                        <w:wordWrap w:val="0"/>
                        <w:ind w:right="210"/>
                        <w:jc w:val="right"/>
                        <w:rPr>
                          <w:rFonts w:ascii="Times New Roman" w:hAnsi="Times New Roman" w:cs="Times New Roman"/>
                          <w:sz w:val="21"/>
                          <w:szCs w:val="21"/>
                          <w:lang w:eastAsia="zh-CN"/>
                        </w:rPr>
                      </w:pP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 </w:t>
                      </w:r>
                    </w:p>
                    <w:p w14:paraId="1DCEC166" w14:textId="77777777" w:rsidR="00307227" w:rsidRPr="00521E36" w:rsidRDefault="00307227" w:rsidP="00F862AC">
                      <w:pPr>
                        <w:pStyle w:val="a5"/>
                        <w:jc w:val="right"/>
                        <w:rPr>
                          <w:rFonts w:ascii="楷体" w:eastAsia="楷体" w:hAnsi="楷体" w:cs="Times New Roman"/>
                          <w:b/>
                          <w:sz w:val="21"/>
                          <w:szCs w:val="21"/>
                          <w:lang w:eastAsia="zh-CN"/>
                        </w:rPr>
                      </w:pPr>
                      <w:r w:rsidRPr="00521E36">
                        <w:rPr>
                          <w:rFonts w:ascii="楷体" w:eastAsia="楷体" w:hAnsi="楷体" w:cs="Times New Roman" w:hint="eastAsia"/>
                          <w:b/>
                          <w:sz w:val="21"/>
                          <w:szCs w:val="21"/>
                          <w:lang w:eastAsia="zh-CN"/>
                        </w:rPr>
                        <w:t>诸葛莲昕</w:t>
                      </w:r>
                    </w:p>
                    <w:p w14:paraId="1FDE1809" w14:textId="77777777" w:rsidR="00307227" w:rsidRPr="00521E36" w:rsidRDefault="00307227" w:rsidP="00F862AC">
                      <w:pPr>
                        <w:pStyle w:val="a5"/>
                        <w:jc w:val="right"/>
                        <w:rPr>
                          <w:rFonts w:ascii="楷体" w:eastAsia="楷体" w:hAnsi="楷体" w:cs="Times New Roman"/>
                          <w:sz w:val="21"/>
                          <w:szCs w:val="21"/>
                          <w:lang w:eastAsia="zh-CN"/>
                        </w:rPr>
                      </w:pPr>
                      <w:r>
                        <w:rPr>
                          <w:rFonts w:ascii="楷体" w:eastAsia="楷体" w:hAnsi="楷体" w:cs="Times New Roman" w:hint="eastAsia"/>
                          <w:sz w:val="21"/>
                          <w:szCs w:val="21"/>
                          <w:lang w:eastAsia="zh-CN"/>
                        </w:rPr>
                        <w:t>分析师</w:t>
                      </w:r>
                    </w:p>
                    <w:p w14:paraId="264CCAAB" w14:textId="77777777" w:rsidR="00307227" w:rsidRDefault="00307227" w:rsidP="00F862AC">
                      <w:pPr>
                        <w:pStyle w:val="a5"/>
                        <w:jc w:val="right"/>
                        <w:rPr>
                          <w:rFonts w:ascii="Times New Roman" w:hAnsi="Times New Roman" w:cs="Times New Roman"/>
                          <w:sz w:val="21"/>
                          <w:szCs w:val="21"/>
                        </w:rPr>
                      </w:pPr>
                      <w:r>
                        <w:rPr>
                          <w:rFonts w:ascii="Times New Roman" w:hAnsi="Times New Roman" w:cs="Times New Roman" w:hint="eastAsia"/>
                          <w:sz w:val="21"/>
                          <w:szCs w:val="21"/>
                        </w:rPr>
                        <w:t>+</w:t>
                      </w:r>
                      <w:r>
                        <w:rPr>
                          <w:rFonts w:ascii="Times New Roman" w:hAnsi="Times New Roman" w:cs="Times New Roman"/>
                          <w:sz w:val="21"/>
                          <w:szCs w:val="21"/>
                        </w:rPr>
                        <w:t>852 3700 7094</w:t>
                      </w:r>
                    </w:p>
                    <w:p w14:paraId="6B07BAD7" w14:textId="77777777" w:rsidR="00307227" w:rsidRDefault="00307227" w:rsidP="00F862AC">
                      <w:pPr>
                        <w:pStyle w:val="a5"/>
                        <w:jc w:val="right"/>
                        <w:rPr>
                          <w:rFonts w:ascii="Times New Roman" w:hAnsi="Times New Roman" w:cs="Times New Roman"/>
                          <w:sz w:val="21"/>
                          <w:szCs w:val="21"/>
                        </w:rPr>
                      </w:pPr>
                      <w:r w:rsidRPr="00495211">
                        <w:rPr>
                          <w:rFonts w:ascii="Times New Roman" w:hAnsi="Times New Roman" w:cs="Times New Roman" w:hint="eastAsia"/>
                          <w:sz w:val="21"/>
                          <w:szCs w:val="21"/>
                        </w:rPr>
                        <w:t>z</w:t>
                      </w:r>
                      <w:r w:rsidRPr="00495211">
                        <w:rPr>
                          <w:rFonts w:ascii="Times New Roman" w:hAnsi="Times New Roman" w:cs="Times New Roman"/>
                          <w:sz w:val="21"/>
                          <w:szCs w:val="21"/>
                        </w:rPr>
                        <w:t>hugelianxin@cwghl.com</w:t>
                      </w:r>
                    </w:p>
                    <w:p w14:paraId="2297B734" w14:textId="77777777" w:rsidR="00307227" w:rsidRPr="002C0BA1" w:rsidRDefault="00307227" w:rsidP="00F862AC">
                      <w:pPr>
                        <w:pStyle w:val="a5"/>
                        <w:wordWrap w:val="0"/>
                        <w:jc w:val="right"/>
                        <w:rPr>
                          <w:rFonts w:ascii="Times New Roman" w:eastAsia="PMingLiU" w:hAnsi="Times New Roman" w:cs="Times New Roman"/>
                          <w:sz w:val="21"/>
                          <w:szCs w:val="21"/>
                        </w:rPr>
                      </w:pPr>
                      <w:r w:rsidRPr="002C0BA1">
                        <w:rPr>
                          <w:rFonts w:ascii="Times New Roman" w:eastAsia="PMingLiU" w:hAnsi="Times New Roman" w:cs="Times New Roman"/>
                          <w:sz w:val="21"/>
                          <w:szCs w:val="21"/>
                        </w:rPr>
                        <w:t xml:space="preserve">SFC </w:t>
                      </w:r>
                      <w:r>
                        <w:rPr>
                          <w:rFonts w:ascii="Times New Roman" w:eastAsia="PMingLiU" w:hAnsi="Times New Roman" w:cs="Times New Roman"/>
                          <w:sz w:val="21"/>
                          <w:szCs w:val="21"/>
                        </w:rPr>
                        <w:t xml:space="preserve">CE </w:t>
                      </w:r>
                      <w:r w:rsidRPr="002C0BA1">
                        <w:rPr>
                          <w:rFonts w:ascii="Times New Roman" w:eastAsia="PMingLiU" w:hAnsi="Times New Roman" w:cs="Times New Roman"/>
                          <w:sz w:val="21"/>
                          <w:szCs w:val="21"/>
                        </w:rPr>
                        <w:t>Ref: B</w:t>
                      </w:r>
                      <w:r>
                        <w:rPr>
                          <w:rFonts w:ascii="Times New Roman" w:eastAsia="PMingLiU" w:hAnsi="Times New Roman" w:cs="Times New Roman"/>
                          <w:sz w:val="21"/>
                          <w:szCs w:val="21"/>
                        </w:rPr>
                        <w:t>PK 789</w:t>
                      </w:r>
                    </w:p>
                    <w:p w14:paraId="1002DC22" w14:textId="77777777" w:rsidR="00307227" w:rsidRPr="00F862AC" w:rsidRDefault="00307227" w:rsidP="00202059">
                      <w:pPr>
                        <w:pStyle w:val="a5"/>
                        <w:jc w:val="right"/>
                        <w:rPr>
                          <w:rFonts w:ascii="Times New Roman" w:eastAsia="PMingLiU" w:hAnsi="Times New Roman" w:cs="Times New Roman"/>
                          <w:sz w:val="21"/>
                          <w:szCs w:val="21"/>
                        </w:rPr>
                      </w:pPr>
                    </w:p>
                    <w:p w14:paraId="4EA9FEE9" w14:textId="77777777" w:rsidR="00307227" w:rsidRPr="00202059" w:rsidRDefault="00307227" w:rsidP="0035223F">
                      <w:pPr>
                        <w:pStyle w:val="a5"/>
                        <w:jc w:val="right"/>
                        <w:rPr>
                          <w:rFonts w:ascii="Times New Roman" w:eastAsia="PMingLiU" w:hAnsi="Times New Roman" w:cs="Times New Roman"/>
                          <w:sz w:val="21"/>
                          <w:szCs w:val="21"/>
                        </w:rPr>
                      </w:pPr>
                    </w:p>
                  </w:txbxContent>
                </v:textbox>
              </v:shape>
            </w:pict>
          </mc:Fallback>
        </mc:AlternateContent>
      </w:r>
    </w:p>
    <w:p w14:paraId="0916E01C" w14:textId="556CCABD" w:rsidR="002151E9" w:rsidRPr="001F5B42" w:rsidRDefault="002151E9" w:rsidP="002151E9">
      <w:pPr>
        <w:rPr>
          <w:rFonts w:cs="Times New Roman"/>
        </w:rPr>
      </w:pPr>
    </w:p>
    <w:p w14:paraId="4DA0583B" w14:textId="70172F99" w:rsidR="002151E9" w:rsidRPr="001F5B42" w:rsidRDefault="002151E9" w:rsidP="002151E9">
      <w:pPr>
        <w:rPr>
          <w:rFonts w:cs="Times New Roman"/>
        </w:rPr>
      </w:pPr>
    </w:p>
    <w:p w14:paraId="1B65A2E8" w14:textId="10BA2109" w:rsidR="002151E9" w:rsidRPr="001F5B42" w:rsidRDefault="002151E9" w:rsidP="002151E9">
      <w:pPr>
        <w:rPr>
          <w:rFonts w:cs="Times New Roman"/>
        </w:rPr>
      </w:pPr>
    </w:p>
    <w:p w14:paraId="25275F19" w14:textId="732D7036" w:rsidR="002151E9" w:rsidRPr="001F5B42" w:rsidRDefault="002151E9" w:rsidP="002151E9">
      <w:pPr>
        <w:rPr>
          <w:rFonts w:cs="Times New Roman"/>
        </w:rPr>
      </w:pPr>
    </w:p>
    <w:p w14:paraId="7277FA20" w14:textId="76754D6A" w:rsidR="002151E9" w:rsidRPr="001F5B42" w:rsidRDefault="002151E9" w:rsidP="002151E9">
      <w:pPr>
        <w:rPr>
          <w:rFonts w:cs="Times New Roman"/>
          <w:b/>
        </w:rPr>
      </w:pPr>
    </w:p>
    <w:p w14:paraId="7FC398BB" w14:textId="22DA70BB" w:rsidR="002151E9" w:rsidRPr="001F5B42" w:rsidRDefault="002151E9" w:rsidP="002151E9">
      <w:pPr>
        <w:rPr>
          <w:rFonts w:cs="Times New Roman"/>
        </w:rPr>
      </w:pPr>
    </w:p>
    <w:p w14:paraId="0DC7288F" w14:textId="64D9C101" w:rsidR="002151E9" w:rsidRPr="001F5B42" w:rsidRDefault="002151E9" w:rsidP="00DA3FF1">
      <w:pPr>
        <w:spacing w:line="240" w:lineRule="auto"/>
        <w:rPr>
          <w:rFonts w:cs="Times New Roman"/>
        </w:rPr>
      </w:pPr>
    </w:p>
    <w:p w14:paraId="2C6BBBB5" w14:textId="004DA54D" w:rsidR="002151E9" w:rsidRPr="001F5B42" w:rsidRDefault="002151E9" w:rsidP="00DA3FF1">
      <w:pPr>
        <w:spacing w:line="240" w:lineRule="auto"/>
        <w:rPr>
          <w:rFonts w:cs="Times New Roman"/>
        </w:rPr>
      </w:pPr>
    </w:p>
    <w:p w14:paraId="3C0CECB7" w14:textId="079E4DC8" w:rsidR="002151E9" w:rsidRPr="001F5B42" w:rsidRDefault="002151E9" w:rsidP="00DA3FF1">
      <w:pPr>
        <w:spacing w:line="240" w:lineRule="auto"/>
        <w:rPr>
          <w:rFonts w:cs="Times New Roman"/>
        </w:rPr>
      </w:pPr>
    </w:p>
    <w:p w14:paraId="56E1F9C7" w14:textId="176E5E73" w:rsidR="002151E9" w:rsidRPr="001F5B42" w:rsidRDefault="002151E9" w:rsidP="00DA3FF1">
      <w:pPr>
        <w:spacing w:line="240" w:lineRule="auto"/>
        <w:rPr>
          <w:rFonts w:cs="Times New Roman"/>
        </w:rPr>
      </w:pPr>
    </w:p>
    <w:p w14:paraId="36382434" w14:textId="15CAD686" w:rsidR="002151E9" w:rsidRPr="001F5B42" w:rsidRDefault="002151E9" w:rsidP="00DA3FF1">
      <w:pPr>
        <w:spacing w:line="240" w:lineRule="auto"/>
        <w:rPr>
          <w:rFonts w:cs="Times New Roman"/>
        </w:rPr>
      </w:pPr>
    </w:p>
    <w:p w14:paraId="22D1C1B9" w14:textId="21149D9A" w:rsidR="002151E9" w:rsidRPr="001F5B42" w:rsidRDefault="002151E9" w:rsidP="00DA3FF1">
      <w:pPr>
        <w:spacing w:line="240" w:lineRule="auto"/>
        <w:rPr>
          <w:rFonts w:cs="Times New Roman"/>
        </w:rPr>
      </w:pPr>
    </w:p>
    <w:p w14:paraId="6401A016" w14:textId="50E61E29" w:rsidR="002151E9" w:rsidRDefault="002151E9" w:rsidP="00DA3FF1">
      <w:pPr>
        <w:spacing w:line="240" w:lineRule="auto"/>
        <w:rPr>
          <w:rFonts w:cs="Times New Roman"/>
        </w:rPr>
      </w:pPr>
    </w:p>
    <w:p w14:paraId="1F55CD07" w14:textId="0CFDDD4D" w:rsidR="00DA3FF1" w:rsidRPr="001F5B42" w:rsidRDefault="00DA3FF1" w:rsidP="00DA3FF1">
      <w:pPr>
        <w:spacing w:line="240" w:lineRule="auto"/>
        <w:rPr>
          <w:rFonts w:cs="Times New Roman"/>
        </w:rPr>
      </w:pPr>
    </w:p>
    <w:p w14:paraId="2D674994" w14:textId="324B1583" w:rsidR="002151E9" w:rsidRPr="001F5B42" w:rsidRDefault="002151E9" w:rsidP="00DA3FF1">
      <w:pPr>
        <w:spacing w:line="240" w:lineRule="auto"/>
        <w:rPr>
          <w:rFonts w:cs="Times New Roman"/>
        </w:rPr>
      </w:pPr>
    </w:p>
    <w:p w14:paraId="072450A6" w14:textId="449328B0" w:rsidR="00F77451" w:rsidRPr="001F5B42" w:rsidRDefault="00F77451" w:rsidP="002151E9">
      <w:pPr>
        <w:rPr>
          <w:rFonts w:cs="Times New Roman"/>
        </w:rPr>
      </w:pPr>
    </w:p>
    <w:p w14:paraId="1736AAFA" w14:textId="1ECB6F19" w:rsidR="00F77451" w:rsidRDefault="00F77451" w:rsidP="002151E9">
      <w:pPr>
        <w:rPr>
          <w:rFonts w:cs="Times New Roman"/>
        </w:rPr>
      </w:pPr>
    </w:p>
    <w:p w14:paraId="7B375375" w14:textId="2D58C7AD" w:rsidR="003C3FF4" w:rsidRDefault="003C3FF4" w:rsidP="002151E9">
      <w:pPr>
        <w:rPr>
          <w:rFonts w:cs="Times New Roman"/>
        </w:rPr>
      </w:pPr>
    </w:p>
    <w:p w14:paraId="7F353AF2" w14:textId="1669799E" w:rsidR="003C3FF4" w:rsidRDefault="003C3FF4" w:rsidP="002151E9">
      <w:pPr>
        <w:rPr>
          <w:rFonts w:cs="Times New Roman"/>
        </w:rPr>
      </w:pPr>
    </w:p>
    <w:p w14:paraId="14A8C1FA" w14:textId="59FEB450" w:rsidR="005A16A2" w:rsidRPr="001F5B42" w:rsidRDefault="003C3FF4" w:rsidP="002151E9">
      <w:pPr>
        <w:rPr>
          <w:rFonts w:cs="Times New Roman"/>
        </w:rPr>
        <w:sectPr w:rsidR="005A16A2" w:rsidRPr="001F5B42" w:rsidSect="00F77451">
          <w:headerReference w:type="default" r:id="rId11"/>
          <w:footerReference w:type="default" r:id="rId12"/>
          <w:headerReference w:type="first" r:id="rId13"/>
          <w:pgSz w:w="12240" w:h="15840"/>
          <w:pgMar w:top="720" w:right="720" w:bottom="720" w:left="720" w:header="709" w:footer="1423" w:gutter="0"/>
          <w:cols w:space="708"/>
          <w:titlePg/>
          <w:docGrid w:linePitch="360"/>
        </w:sectPr>
      </w:pPr>
      <w:r w:rsidRPr="001F5B42">
        <w:rPr>
          <w:rFonts w:cs="Times New Roman"/>
          <w:b/>
          <w:noProof/>
        </w:rPr>
        <mc:AlternateContent>
          <mc:Choice Requires="wps">
            <w:drawing>
              <wp:anchor distT="0" distB="0" distL="114300" distR="114300" simplePos="0" relativeHeight="251684864" behindDoc="0" locked="0" layoutInCell="1" allowOverlap="1" wp14:anchorId="35F491F8" wp14:editId="6C63CEDE">
                <wp:simplePos x="0" y="0"/>
                <wp:positionH relativeFrom="column">
                  <wp:posOffset>9525</wp:posOffset>
                </wp:positionH>
                <wp:positionV relativeFrom="paragraph">
                  <wp:posOffset>372110</wp:posOffset>
                </wp:positionV>
                <wp:extent cx="6878320" cy="0"/>
                <wp:effectExtent l="0" t="19050" r="36830" b="19050"/>
                <wp:wrapNone/>
                <wp:docPr id="10" name="直接连接符 10"/>
                <wp:cNvGraphicFramePr/>
                <a:graphic xmlns:a="http://schemas.openxmlformats.org/drawingml/2006/main">
                  <a:graphicData uri="http://schemas.microsoft.com/office/word/2010/wordprocessingShape">
                    <wps:wsp>
                      <wps:cNvCnPr/>
                      <wps:spPr>
                        <a:xfrm>
                          <a:off x="0" y="0"/>
                          <a:ext cx="6878320" cy="0"/>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FDD6B4" id="直接连接符 10" o:spid="_x0000_s1026" style="position:absolute;left:0;text-align:left;z-index:251684864;visibility:visible;mso-wrap-style:square;mso-wrap-distance-left:9pt;mso-wrap-distance-top:0;mso-wrap-distance-right:9pt;mso-wrap-distance-bottom:0;mso-position-horizontal:absolute;mso-position-horizontal-relative:text;mso-position-vertical:absolute;mso-position-vertical-relative:text" from=".75pt,29.3pt" to="542.3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" strokecolor="#7f7f7f [1612]" strokeweight="2.25pt"/>
            </w:pict>
          </mc:Fallback>
        </mc:AlternateContent>
      </w:r>
    </w:p>
    <w:p w14:paraId="77963F13" w14:textId="36D195EB" w:rsidR="007551B6" w:rsidRDefault="007551B6">
      <w:pPr>
        <w:ind w:right="0"/>
        <w:jc w:val="left"/>
      </w:pPr>
      <w:r>
        <w:br w:type="page"/>
      </w:r>
    </w:p>
    <w:p w14:paraId="6E75444B" w14:textId="4F4E447A" w:rsidR="00EE4A93" w:rsidRPr="00AA3079" w:rsidRDefault="007551B6" w:rsidP="00A7333C">
      <w:pPr>
        <w:pStyle w:val="1"/>
      </w:pPr>
      <w:bookmarkStart w:id="2" w:name="_Toc27994249"/>
      <w:r>
        <w:rPr>
          <w:rFonts w:hint="eastAsia"/>
        </w:rPr>
        <w:lastRenderedPageBreak/>
        <w:t>1.</w:t>
      </w:r>
      <w:r>
        <w:t xml:space="preserve"> </w:t>
      </w:r>
      <w:bookmarkStart w:id="3" w:name="_Hlk36892060"/>
      <w:bookmarkEnd w:id="2"/>
      <w:r w:rsidR="002A373B" w:rsidRPr="002A373B">
        <w:rPr>
          <w:rFonts w:hint="eastAsia"/>
        </w:rPr>
        <w:t>老旧小区改造政策及空间解析</w:t>
      </w:r>
    </w:p>
    <w:p w14:paraId="79462BAB" w14:textId="77B7A8EA" w:rsidR="008D45CF" w:rsidRPr="008D45CF" w:rsidRDefault="00715885" w:rsidP="008D45CF">
      <w:pPr>
        <w:pStyle w:val="2"/>
      </w:pPr>
      <w:r>
        <w:rPr>
          <w:rFonts w:hint="eastAsia"/>
        </w:rPr>
        <w:t>1.</w:t>
      </w:r>
      <w:r w:rsidR="00A7333C">
        <w:rPr>
          <w:rFonts w:hint="eastAsia"/>
        </w:rPr>
        <w:t>1</w:t>
      </w:r>
      <w:r>
        <w:t xml:space="preserve"> </w:t>
      </w:r>
      <w:r>
        <w:rPr>
          <w:rFonts w:hint="eastAsia"/>
        </w:rPr>
        <w:t>老旧小区改造</w:t>
      </w:r>
      <w:r w:rsidR="008D45CF">
        <w:rPr>
          <w:rFonts w:hint="eastAsia"/>
        </w:rPr>
        <w:t>的空间测算</w:t>
      </w:r>
    </w:p>
    <w:p w14:paraId="0B08DEEF" w14:textId="10B234BA" w:rsidR="009F339A" w:rsidRDefault="009F339A" w:rsidP="009F339A">
      <w:r w:rsidRPr="009F339A">
        <w:rPr>
          <w:rFonts w:hint="eastAsia"/>
          <w:b/>
          <w:bCs/>
        </w:rPr>
        <w:t>根据住建部摸排，老旧小区市场空间约</w:t>
      </w:r>
      <w:r w:rsidRPr="009F339A">
        <w:rPr>
          <w:rFonts w:hint="eastAsia"/>
          <w:b/>
          <w:bCs/>
        </w:rPr>
        <w:t>5</w:t>
      </w:r>
      <w:proofErr w:type="gramStart"/>
      <w:r w:rsidRPr="009F339A">
        <w:rPr>
          <w:rFonts w:hint="eastAsia"/>
          <w:b/>
          <w:bCs/>
        </w:rPr>
        <w:t>万亿</w:t>
      </w:r>
      <w:proofErr w:type="gramEnd"/>
      <w:r w:rsidRPr="009F339A">
        <w:rPr>
          <w:rFonts w:hint="eastAsia"/>
          <w:b/>
          <w:bCs/>
        </w:rPr>
        <w:t>元。</w:t>
      </w:r>
      <w:r w:rsidR="00A7333C" w:rsidRPr="00A7333C">
        <w:rPr>
          <w:rFonts w:hint="eastAsia"/>
        </w:rPr>
        <w:t>住建部、</w:t>
      </w:r>
      <w:proofErr w:type="gramStart"/>
      <w:r w:rsidR="00A7333C" w:rsidRPr="00A7333C">
        <w:rPr>
          <w:rFonts w:hint="eastAsia"/>
        </w:rPr>
        <w:t>发改委</w:t>
      </w:r>
      <w:proofErr w:type="gramEnd"/>
      <w:r w:rsidR="00A7333C" w:rsidRPr="00A7333C">
        <w:rPr>
          <w:rFonts w:hint="eastAsia"/>
        </w:rPr>
        <w:t>、财政部在《关于做好</w:t>
      </w:r>
      <w:r w:rsidR="00A7333C" w:rsidRPr="00A7333C">
        <w:rPr>
          <w:rFonts w:hint="eastAsia"/>
        </w:rPr>
        <w:t>2019</w:t>
      </w:r>
      <w:r w:rsidR="00A7333C" w:rsidRPr="00A7333C">
        <w:rPr>
          <w:rFonts w:hint="eastAsia"/>
        </w:rPr>
        <w:t>年老旧小区改造工作的通知》中，将老旧小区定义为建成于</w:t>
      </w:r>
      <w:r w:rsidR="00A7333C" w:rsidRPr="00A7333C">
        <w:rPr>
          <w:rFonts w:hint="eastAsia"/>
        </w:rPr>
        <w:t>2000</w:t>
      </w:r>
      <w:r w:rsidR="00A7333C" w:rsidRPr="00A7333C">
        <w:rPr>
          <w:rFonts w:hint="eastAsia"/>
        </w:rPr>
        <w:t>年以前、公共设施落后影响居民基本生活、居民改造意愿强烈的住宅小区。</w:t>
      </w:r>
      <w:r w:rsidRPr="009F339A">
        <w:rPr>
          <w:rFonts w:hint="eastAsia"/>
        </w:rPr>
        <w:t>2019</w:t>
      </w:r>
      <w:r w:rsidRPr="009F339A">
        <w:rPr>
          <w:rFonts w:hint="eastAsia"/>
        </w:rPr>
        <w:t>年</w:t>
      </w:r>
      <w:r w:rsidRPr="009F339A">
        <w:rPr>
          <w:rFonts w:hint="eastAsia"/>
        </w:rPr>
        <w:t>7</w:t>
      </w:r>
      <w:r w:rsidRPr="009F339A">
        <w:rPr>
          <w:rFonts w:hint="eastAsia"/>
        </w:rPr>
        <w:t>月</w:t>
      </w:r>
      <w:r>
        <w:rPr>
          <w:rFonts w:hint="eastAsia"/>
        </w:rPr>
        <w:t>，住建部副部长黄艳表示，经过摸底排查，各地上报需要改造的城镇老旧小区有</w:t>
      </w:r>
      <w:r>
        <w:rPr>
          <w:rFonts w:hint="eastAsia"/>
        </w:rPr>
        <w:t>17</w:t>
      </w:r>
      <w:r>
        <w:rPr>
          <w:rFonts w:hint="eastAsia"/>
        </w:rPr>
        <w:t>万个，</w:t>
      </w:r>
      <w:r w:rsidR="00FA306F">
        <w:rPr>
          <w:rFonts w:hint="eastAsia"/>
        </w:rPr>
        <w:t>涉及居民上亿人</w:t>
      </w:r>
      <w:r w:rsidR="008C58FE">
        <w:rPr>
          <w:rFonts w:hint="eastAsia"/>
        </w:rPr>
        <w:t>，约</w:t>
      </w:r>
      <w:r w:rsidR="008C58FE">
        <w:rPr>
          <w:rFonts w:hint="eastAsia"/>
        </w:rPr>
        <w:t>4200</w:t>
      </w:r>
      <w:r w:rsidR="008C58FE">
        <w:rPr>
          <w:rFonts w:hint="eastAsia"/>
        </w:rPr>
        <w:t>万户，建筑面积约</w:t>
      </w:r>
      <w:r w:rsidR="008C58FE">
        <w:rPr>
          <w:rFonts w:hint="eastAsia"/>
        </w:rPr>
        <w:t>40</w:t>
      </w:r>
      <w:r w:rsidR="008C58FE">
        <w:rPr>
          <w:rFonts w:hint="eastAsia"/>
        </w:rPr>
        <w:t>亿平方米</w:t>
      </w:r>
      <w:r w:rsidR="00FA306F">
        <w:rPr>
          <w:rFonts w:hint="eastAsia"/>
        </w:rPr>
        <w:t>。</w:t>
      </w:r>
      <w:r w:rsidR="00FA306F">
        <w:rPr>
          <w:rFonts w:hint="eastAsia"/>
        </w:rPr>
        <w:t>2019</w:t>
      </w:r>
      <w:r w:rsidR="00FA306F">
        <w:rPr>
          <w:rFonts w:hint="eastAsia"/>
        </w:rPr>
        <w:t>年</w:t>
      </w:r>
      <w:r w:rsidR="00FA306F">
        <w:rPr>
          <w:rFonts w:hint="eastAsia"/>
        </w:rPr>
        <w:t>9</w:t>
      </w:r>
      <w:r w:rsidR="00FA306F">
        <w:rPr>
          <w:rFonts w:hint="eastAsia"/>
        </w:rPr>
        <w:t>月，国务院参事仇保兴表示，老旧小区改造的总投资额应是</w:t>
      </w:r>
      <w:r w:rsidR="00FA306F">
        <w:rPr>
          <w:rFonts w:hint="eastAsia"/>
        </w:rPr>
        <w:t>5</w:t>
      </w:r>
      <w:proofErr w:type="gramStart"/>
      <w:r w:rsidR="00FA306F">
        <w:rPr>
          <w:rFonts w:hint="eastAsia"/>
        </w:rPr>
        <w:t>万亿</w:t>
      </w:r>
      <w:proofErr w:type="gramEnd"/>
      <w:r w:rsidR="00FA306F">
        <w:rPr>
          <w:rFonts w:hint="eastAsia"/>
        </w:rPr>
        <w:t>元。</w:t>
      </w:r>
    </w:p>
    <w:p w14:paraId="3C79A1EB" w14:textId="63BF20E1" w:rsidR="003D3787" w:rsidRDefault="00055570" w:rsidP="00064B73">
      <w:r w:rsidRPr="00055570">
        <w:rPr>
          <w:rFonts w:hint="eastAsia"/>
          <w:b/>
          <w:bCs/>
        </w:rPr>
        <w:t>我们通过第六次人口普查数据对老旧小区存量进行了测算</w:t>
      </w:r>
      <w:r>
        <w:rPr>
          <w:rFonts w:hint="eastAsia"/>
          <w:b/>
          <w:bCs/>
        </w:rPr>
        <w:t>，</w:t>
      </w:r>
      <w:r w:rsidR="009543E2">
        <w:rPr>
          <w:rFonts w:hint="eastAsia"/>
          <w:b/>
          <w:bCs/>
        </w:rPr>
        <w:t>根据</w:t>
      </w:r>
      <w:proofErr w:type="gramStart"/>
      <w:r w:rsidR="009543E2">
        <w:rPr>
          <w:rFonts w:hint="eastAsia"/>
          <w:b/>
          <w:bCs/>
        </w:rPr>
        <w:t>六普数据</w:t>
      </w:r>
      <w:proofErr w:type="gramEnd"/>
      <w:r w:rsidR="009543E2">
        <w:rPr>
          <w:rFonts w:hint="eastAsia"/>
          <w:b/>
          <w:bCs/>
        </w:rPr>
        <w:t>测算，</w:t>
      </w:r>
      <w:r w:rsidR="009543E2">
        <w:rPr>
          <w:rFonts w:hint="eastAsia"/>
          <w:b/>
          <w:bCs/>
        </w:rPr>
        <w:t>2010</w:t>
      </w:r>
      <w:r w:rsidR="009543E2">
        <w:rPr>
          <w:rFonts w:hint="eastAsia"/>
          <w:b/>
          <w:bCs/>
        </w:rPr>
        <w:t>年末</w:t>
      </w:r>
      <w:r w:rsidR="00AB3400" w:rsidRPr="00AB3400">
        <w:rPr>
          <w:rFonts w:hint="eastAsia"/>
          <w:b/>
          <w:bCs/>
        </w:rPr>
        <w:t>，</w:t>
      </w:r>
      <w:r w:rsidR="00AB3400" w:rsidRPr="00AB3400">
        <w:rPr>
          <w:rFonts w:hint="eastAsia"/>
          <w:b/>
          <w:bCs/>
        </w:rPr>
        <w:t>2000</w:t>
      </w:r>
      <w:r w:rsidR="00AB3400" w:rsidRPr="00AB3400">
        <w:rPr>
          <w:rFonts w:hint="eastAsia"/>
          <w:b/>
          <w:bCs/>
        </w:rPr>
        <w:t>年以前建成</w:t>
      </w:r>
      <w:r w:rsidR="009543E2">
        <w:rPr>
          <w:rFonts w:hint="eastAsia"/>
          <w:b/>
          <w:bCs/>
        </w:rPr>
        <w:t>城市</w:t>
      </w:r>
      <w:r w:rsidR="00AB3400" w:rsidRPr="00AB3400">
        <w:rPr>
          <w:rFonts w:hint="eastAsia"/>
          <w:b/>
          <w:bCs/>
        </w:rPr>
        <w:t>住房建筑面积约</w:t>
      </w:r>
      <w:r w:rsidR="009543E2">
        <w:rPr>
          <w:rFonts w:hint="eastAsia"/>
          <w:b/>
          <w:bCs/>
        </w:rPr>
        <w:t>68.4</w:t>
      </w:r>
      <w:r w:rsidR="00AB3400" w:rsidRPr="00AB3400">
        <w:rPr>
          <w:rFonts w:hint="eastAsia"/>
          <w:b/>
          <w:bCs/>
        </w:rPr>
        <w:t>亿</w:t>
      </w:r>
      <w:r w:rsidR="009543E2">
        <w:rPr>
          <w:rFonts w:hint="eastAsia"/>
          <w:b/>
          <w:bCs/>
        </w:rPr>
        <w:t>平方米</w:t>
      </w:r>
      <w:r w:rsidR="00AB3400" w:rsidRPr="00AB3400">
        <w:rPr>
          <w:rFonts w:hint="eastAsia"/>
          <w:b/>
          <w:bCs/>
        </w:rPr>
        <w:t>。</w:t>
      </w:r>
      <w:r w:rsidRPr="00055570">
        <w:rPr>
          <w:rFonts w:hint="eastAsia"/>
        </w:rPr>
        <w:t>2010</w:t>
      </w:r>
      <w:r w:rsidRPr="00055570">
        <w:rPr>
          <w:rFonts w:hint="eastAsia"/>
        </w:rPr>
        <w:t>年进行的第六次人口普查数据总体遗漏率与重登率较低，因此我们以</w:t>
      </w:r>
      <w:proofErr w:type="gramStart"/>
      <w:r w:rsidRPr="00055570">
        <w:rPr>
          <w:rFonts w:hint="eastAsia"/>
        </w:rPr>
        <w:t>六普数据</w:t>
      </w:r>
      <w:proofErr w:type="gramEnd"/>
      <w:r w:rsidRPr="00055570">
        <w:rPr>
          <w:rFonts w:hint="eastAsia"/>
        </w:rPr>
        <w:t>作为起点，对老旧小区存量进行了测算。</w:t>
      </w:r>
      <w:r w:rsidR="002C3175">
        <w:rPr>
          <w:rFonts w:hint="eastAsia"/>
        </w:rPr>
        <w:t>第六次人口普查对</w:t>
      </w:r>
      <w:r w:rsidR="002C3175" w:rsidRPr="002C3175">
        <w:rPr>
          <w:rFonts w:hint="eastAsia"/>
        </w:rPr>
        <w:t>各地区按住房建成时间分的家庭户住房状况</w:t>
      </w:r>
      <w:r w:rsidR="002C3175">
        <w:rPr>
          <w:rFonts w:hint="eastAsia"/>
        </w:rPr>
        <w:t>进行了抽样统计</w:t>
      </w:r>
      <w:r w:rsidR="00FA306F">
        <w:rPr>
          <w:rFonts w:hint="eastAsia"/>
        </w:rPr>
        <w:t>。城市方面，</w:t>
      </w:r>
      <w:proofErr w:type="gramStart"/>
      <w:r w:rsidR="00FA306F">
        <w:rPr>
          <w:rFonts w:hint="eastAsia"/>
        </w:rPr>
        <w:t>六普抽取</w:t>
      </w:r>
      <w:proofErr w:type="gramEnd"/>
      <w:r w:rsidR="00FA306F">
        <w:rPr>
          <w:rFonts w:hint="eastAsia"/>
        </w:rPr>
        <w:t>了约</w:t>
      </w:r>
      <w:r w:rsidR="00FA306F">
        <w:rPr>
          <w:rFonts w:hint="eastAsia"/>
        </w:rPr>
        <w:t>1242</w:t>
      </w:r>
      <w:r w:rsidR="00FA306F">
        <w:rPr>
          <w:rFonts w:hint="eastAsia"/>
        </w:rPr>
        <w:t>万户家庭户作为样本，其中约</w:t>
      </w:r>
      <w:r w:rsidR="00FA306F">
        <w:rPr>
          <w:rFonts w:hint="eastAsia"/>
        </w:rPr>
        <w:t>755</w:t>
      </w:r>
      <w:r w:rsidR="00FA306F">
        <w:rPr>
          <w:rFonts w:hint="eastAsia"/>
        </w:rPr>
        <w:t>万户居住在</w:t>
      </w:r>
      <w:r w:rsidR="00FA306F">
        <w:rPr>
          <w:rFonts w:hint="eastAsia"/>
        </w:rPr>
        <w:t>2000</w:t>
      </w:r>
      <w:r w:rsidR="00FA306F">
        <w:rPr>
          <w:rFonts w:hint="eastAsia"/>
        </w:rPr>
        <w:t>年以前建成的住房中，涉及建筑面积</w:t>
      </w:r>
      <w:r w:rsidR="00FA306F">
        <w:rPr>
          <w:rFonts w:hint="eastAsia"/>
        </w:rPr>
        <w:t>5.64</w:t>
      </w:r>
      <w:r w:rsidR="00FA306F">
        <w:rPr>
          <w:rFonts w:hint="eastAsia"/>
        </w:rPr>
        <w:t>亿平方米。</w:t>
      </w:r>
      <w:proofErr w:type="gramStart"/>
      <w:r w:rsidR="009543E2">
        <w:rPr>
          <w:rFonts w:hint="eastAsia"/>
        </w:rPr>
        <w:t>六普覆盖</w:t>
      </w:r>
      <w:proofErr w:type="gramEnd"/>
      <w:r w:rsidR="009543E2">
        <w:rPr>
          <w:rFonts w:hint="eastAsia"/>
        </w:rPr>
        <w:t>的城市家庭总户数约</w:t>
      </w:r>
      <w:r w:rsidR="009543E2">
        <w:rPr>
          <w:rFonts w:hint="eastAsia"/>
        </w:rPr>
        <w:t>1.29</w:t>
      </w:r>
      <w:r w:rsidR="009543E2">
        <w:rPr>
          <w:rFonts w:hint="eastAsia"/>
        </w:rPr>
        <w:t>亿户，城市集体总户数约</w:t>
      </w:r>
      <w:r w:rsidR="009543E2">
        <w:rPr>
          <w:rFonts w:hint="eastAsia"/>
        </w:rPr>
        <w:t>1058</w:t>
      </w:r>
      <w:r w:rsidR="009543E2">
        <w:rPr>
          <w:rFonts w:hint="eastAsia"/>
        </w:rPr>
        <w:t>万户，城市</w:t>
      </w:r>
      <w:r w:rsidR="009543E2" w:rsidRPr="009543E2">
        <w:rPr>
          <w:rFonts w:hint="eastAsia"/>
        </w:rPr>
        <w:t>样本家庭户数约占</w:t>
      </w:r>
      <w:proofErr w:type="gramStart"/>
      <w:r w:rsidR="009543E2" w:rsidRPr="009543E2">
        <w:rPr>
          <w:rFonts w:hint="eastAsia"/>
        </w:rPr>
        <w:t>总</w:t>
      </w:r>
      <w:r w:rsidR="009543E2">
        <w:rPr>
          <w:rFonts w:hint="eastAsia"/>
        </w:rPr>
        <w:t>城市</w:t>
      </w:r>
      <w:proofErr w:type="gramEnd"/>
      <w:r w:rsidR="009543E2" w:rsidRPr="009543E2">
        <w:rPr>
          <w:rFonts w:hint="eastAsia"/>
        </w:rPr>
        <w:t>家庭户数的</w:t>
      </w:r>
      <w:r w:rsidR="009543E2" w:rsidRPr="009543E2">
        <w:rPr>
          <w:rFonts w:hint="eastAsia"/>
        </w:rPr>
        <w:t>8.9%</w:t>
      </w:r>
      <w:r w:rsidR="009543E2">
        <w:rPr>
          <w:rFonts w:hint="eastAsia"/>
        </w:rPr>
        <w:t>，</w:t>
      </w:r>
      <w:proofErr w:type="gramStart"/>
      <w:r w:rsidR="009543E2">
        <w:rPr>
          <w:rFonts w:hint="eastAsia"/>
        </w:rPr>
        <w:t>总城市</w:t>
      </w:r>
      <w:proofErr w:type="gramEnd"/>
      <w:r w:rsidR="009543E2">
        <w:rPr>
          <w:rFonts w:hint="eastAsia"/>
        </w:rPr>
        <w:t>家庭户数占</w:t>
      </w:r>
      <w:proofErr w:type="gramStart"/>
      <w:r w:rsidR="009543E2">
        <w:rPr>
          <w:rFonts w:hint="eastAsia"/>
        </w:rPr>
        <w:t>总城市</w:t>
      </w:r>
      <w:proofErr w:type="gramEnd"/>
      <w:r w:rsidR="009543E2">
        <w:rPr>
          <w:rFonts w:hint="eastAsia"/>
        </w:rPr>
        <w:t>户数的</w:t>
      </w:r>
      <w:r w:rsidR="009543E2">
        <w:rPr>
          <w:rFonts w:hint="eastAsia"/>
        </w:rPr>
        <w:t>92.4%</w:t>
      </w:r>
      <w:r w:rsidR="009543E2">
        <w:rPr>
          <w:rFonts w:hint="eastAsia"/>
        </w:rPr>
        <w:t>。</w:t>
      </w:r>
      <w:r w:rsidR="009543E2" w:rsidRPr="009543E2">
        <w:rPr>
          <w:rFonts w:hint="eastAsia"/>
        </w:rPr>
        <w:t>假设居住于</w:t>
      </w:r>
      <w:r w:rsidR="009543E2" w:rsidRPr="009543E2">
        <w:rPr>
          <w:rFonts w:hint="eastAsia"/>
        </w:rPr>
        <w:t>2000</w:t>
      </w:r>
      <w:r w:rsidR="009543E2" w:rsidRPr="009543E2">
        <w:rPr>
          <w:rFonts w:hint="eastAsia"/>
        </w:rPr>
        <w:t>年前建成的</w:t>
      </w:r>
      <w:r w:rsidR="009543E2">
        <w:rPr>
          <w:rFonts w:hint="eastAsia"/>
        </w:rPr>
        <w:t>城市</w:t>
      </w:r>
      <w:r w:rsidR="009543E2" w:rsidRPr="009543E2">
        <w:rPr>
          <w:rFonts w:hint="eastAsia"/>
        </w:rPr>
        <w:t>住房的集体户占比与家庭户占比相同，</w:t>
      </w:r>
      <w:r w:rsidR="009543E2">
        <w:rPr>
          <w:rFonts w:hint="eastAsia"/>
        </w:rPr>
        <w:t>则</w:t>
      </w:r>
      <w:r w:rsidR="009543E2">
        <w:rPr>
          <w:rFonts w:hint="eastAsia"/>
        </w:rPr>
        <w:t>2000</w:t>
      </w:r>
      <w:r w:rsidR="009543E2">
        <w:rPr>
          <w:rFonts w:hint="eastAsia"/>
        </w:rPr>
        <w:t>年以前建成的城市家庭户住房建筑面积约</w:t>
      </w:r>
      <w:r w:rsidR="009543E2">
        <w:rPr>
          <w:rFonts w:hint="eastAsia"/>
        </w:rPr>
        <w:t>68.4</w:t>
      </w:r>
      <w:r w:rsidR="009543E2">
        <w:rPr>
          <w:rFonts w:hint="eastAsia"/>
        </w:rPr>
        <w:t>亿平方米。</w:t>
      </w:r>
    </w:p>
    <w:p w14:paraId="0333FEAD" w14:textId="0E14AC68" w:rsidR="004A4BB0" w:rsidRDefault="009543E2" w:rsidP="00064B73">
      <w:r w:rsidRPr="00AB3400">
        <w:rPr>
          <w:rFonts w:hint="eastAsia"/>
          <w:b/>
          <w:bCs/>
        </w:rPr>
        <w:t>截至</w:t>
      </w:r>
      <w:r w:rsidRPr="00AB3400">
        <w:rPr>
          <w:rFonts w:hint="eastAsia"/>
          <w:b/>
          <w:bCs/>
        </w:rPr>
        <w:t>2010</w:t>
      </w:r>
      <w:r w:rsidRPr="00AB3400">
        <w:rPr>
          <w:rFonts w:hint="eastAsia"/>
          <w:b/>
          <w:bCs/>
        </w:rPr>
        <w:t>年末，</w:t>
      </w:r>
      <w:r w:rsidRPr="00AB3400">
        <w:rPr>
          <w:rFonts w:hint="eastAsia"/>
          <w:b/>
          <w:bCs/>
        </w:rPr>
        <w:t>2000</w:t>
      </w:r>
      <w:r w:rsidRPr="00AB3400">
        <w:rPr>
          <w:rFonts w:hint="eastAsia"/>
          <w:b/>
          <w:bCs/>
        </w:rPr>
        <w:t>年以前建成</w:t>
      </w:r>
      <w:r>
        <w:rPr>
          <w:rFonts w:hint="eastAsia"/>
          <w:b/>
          <w:bCs/>
        </w:rPr>
        <w:t>城镇</w:t>
      </w:r>
      <w:r w:rsidRPr="00AB3400">
        <w:rPr>
          <w:rFonts w:hint="eastAsia"/>
          <w:b/>
          <w:bCs/>
        </w:rPr>
        <w:t>住房建筑面积</w:t>
      </w:r>
      <w:r>
        <w:rPr>
          <w:rFonts w:hint="eastAsia"/>
          <w:b/>
          <w:bCs/>
        </w:rPr>
        <w:t>合计约</w:t>
      </w:r>
      <w:r>
        <w:rPr>
          <w:rFonts w:hint="eastAsia"/>
          <w:b/>
          <w:bCs/>
        </w:rPr>
        <w:t>118.8</w:t>
      </w:r>
      <w:r w:rsidRPr="00AB3400">
        <w:rPr>
          <w:rFonts w:hint="eastAsia"/>
          <w:b/>
          <w:bCs/>
        </w:rPr>
        <w:t>亿</w:t>
      </w:r>
      <w:r>
        <w:rPr>
          <w:rFonts w:hint="eastAsia"/>
          <w:b/>
          <w:bCs/>
        </w:rPr>
        <w:t>平方米。</w:t>
      </w:r>
      <w:r w:rsidR="00FA306F">
        <w:rPr>
          <w:rFonts w:hint="eastAsia"/>
        </w:rPr>
        <w:t>镇方面，</w:t>
      </w:r>
      <w:proofErr w:type="gramStart"/>
      <w:r w:rsidR="00FA306F">
        <w:rPr>
          <w:rFonts w:hint="eastAsia"/>
        </w:rPr>
        <w:t>六普抽取</w:t>
      </w:r>
      <w:proofErr w:type="gramEnd"/>
      <w:r w:rsidR="00FA306F">
        <w:rPr>
          <w:rFonts w:hint="eastAsia"/>
        </w:rPr>
        <w:t>的家庭户样本数约</w:t>
      </w:r>
      <w:r w:rsidR="00FA306F">
        <w:rPr>
          <w:rFonts w:hint="eastAsia"/>
        </w:rPr>
        <w:t>755</w:t>
      </w:r>
      <w:r w:rsidR="00FA306F">
        <w:rPr>
          <w:rFonts w:hint="eastAsia"/>
        </w:rPr>
        <w:t>万户，其中约</w:t>
      </w:r>
      <w:r w:rsidR="00FA306F">
        <w:rPr>
          <w:rFonts w:hint="eastAsia"/>
        </w:rPr>
        <w:t>486</w:t>
      </w:r>
      <w:r w:rsidR="00FA306F">
        <w:rPr>
          <w:rFonts w:hint="eastAsia"/>
        </w:rPr>
        <w:t>万户居住于</w:t>
      </w:r>
      <w:r w:rsidR="00FA306F">
        <w:rPr>
          <w:rFonts w:hint="eastAsia"/>
        </w:rPr>
        <w:t>2000</w:t>
      </w:r>
      <w:r w:rsidR="00FA306F">
        <w:rPr>
          <w:rFonts w:hint="eastAsia"/>
        </w:rPr>
        <w:t>年以前建成的住房中，涉及建筑面积约</w:t>
      </w:r>
      <w:r w:rsidR="00FA306F">
        <w:rPr>
          <w:rFonts w:hint="eastAsia"/>
        </w:rPr>
        <w:t>4.66</w:t>
      </w:r>
      <w:r w:rsidR="00FA306F">
        <w:rPr>
          <w:rFonts w:hint="eastAsia"/>
        </w:rPr>
        <w:t>亿平方米。</w:t>
      </w:r>
      <w:proofErr w:type="gramStart"/>
      <w:r>
        <w:rPr>
          <w:rFonts w:hint="eastAsia"/>
        </w:rPr>
        <w:t>镇家庭</w:t>
      </w:r>
      <w:proofErr w:type="gramEnd"/>
      <w:r>
        <w:rPr>
          <w:rFonts w:hint="eastAsia"/>
        </w:rPr>
        <w:t>总户数约</w:t>
      </w:r>
      <w:r>
        <w:rPr>
          <w:rFonts w:hint="eastAsia"/>
        </w:rPr>
        <w:t>7853</w:t>
      </w:r>
      <w:r>
        <w:rPr>
          <w:rFonts w:hint="eastAsia"/>
        </w:rPr>
        <w:t>万户，</w:t>
      </w:r>
      <w:bookmarkStart w:id="4" w:name="_Hlk36993260"/>
      <w:r>
        <w:rPr>
          <w:rFonts w:hint="eastAsia"/>
        </w:rPr>
        <w:t>镇集体总户数约</w:t>
      </w:r>
      <w:r>
        <w:rPr>
          <w:rFonts w:hint="eastAsia"/>
        </w:rPr>
        <w:t>323</w:t>
      </w:r>
      <w:r>
        <w:rPr>
          <w:rFonts w:hint="eastAsia"/>
        </w:rPr>
        <w:t>万户，镇</w:t>
      </w:r>
      <w:r w:rsidR="002C3175">
        <w:rPr>
          <w:rFonts w:hint="eastAsia"/>
        </w:rPr>
        <w:t>样本家庭户数约占</w:t>
      </w:r>
      <w:proofErr w:type="gramStart"/>
      <w:r>
        <w:rPr>
          <w:rFonts w:hint="eastAsia"/>
        </w:rPr>
        <w:t>镇</w:t>
      </w:r>
      <w:r w:rsidR="002C3175">
        <w:rPr>
          <w:rFonts w:hint="eastAsia"/>
        </w:rPr>
        <w:t>总家庭</w:t>
      </w:r>
      <w:proofErr w:type="gramEnd"/>
      <w:r w:rsidR="002C3175">
        <w:rPr>
          <w:rFonts w:hint="eastAsia"/>
        </w:rPr>
        <w:t>户数的</w:t>
      </w:r>
      <w:bookmarkEnd w:id="4"/>
      <w:r>
        <w:rPr>
          <w:rFonts w:hint="eastAsia"/>
        </w:rPr>
        <w:t>9.6%</w:t>
      </w:r>
      <w:r w:rsidR="00307227">
        <w:rPr>
          <w:rFonts w:hint="eastAsia"/>
        </w:rPr>
        <w:t>，</w:t>
      </w:r>
      <w:proofErr w:type="gramStart"/>
      <w:r w:rsidR="00307227">
        <w:rPr>
          <w:rFonts w:hint="eastAsia"/>
        </w:rPr>
        <w:t>镇总家庭</w:t>
      </w:r>
      <w:proofErr w:type="gramEnd"/>
      <w:r w:rsidR="00307227">
        <w:rPr>
          <w:rFonts w:hint="eastAsia"/>
        </w:rPr>
        <w:t>户数占总镇户数的</w:t>
      </w:r>
      <w:r w:rsidR="00307227">
        <w:rPr>
          <w:rFonts w:hint="eastAsia"/>
        </w:rPr>
        <w:t>96.0%</w:t>
      </w:r>
      <w:r>
        <w:rPr>
          <w:rFonts w:hint="eastAsia"/>
        </w:rPr>
        <w:t>。</w:t>
      </w:r>
      <w:bookmarkStart w:id="5" w:name="_Hlk36993303"/>
      <w:r>
        <w:rPr>
          <w:rFonts w:hint="eastAsia"/>
        </w:rPr>
        <w:t>采用与城市集体户相同的假设</w:t>
      </w:r>
      <w:r w:rsidR="00975D5E">
        <w:rPr>
          <w:rFonts w:hint="eastAsia"/>
        </w:rPr>
        <w:t>，</w:t>
      </w:r>
      <w:bookmarkEnd w:id="5"/>
      <w:r w:rsidR="00975D5E">
        <w:rPr>
          <w:rFonts w:hint="eastAsia"/>
        </w:rPr>
        <w:t>则截至</w:t>
      </w:r>
      <w:proofErr w:type="gramStart"/>
      <w:r w:rsidR="00975D5E">
        <w:rPr>
          <w:rFonts w:hint="eastAsia"/>
        </w:rPr>
        <w:t>六普统计</w:t>
      </w:r>
      <w:proofErr w:type="gramEnd"/>
      <w:r w:rsidR="00975D5E">
        <w:rPr>
          <w:rFonts w:hint="eastAsia"/>
        </w:rPr>
        <w:t>数据的</w:t>
      </w:r>
      <w:r w:rsidR="00975D5E">
        <w:rPr>
          <w:rFonts w:hint="eastAsia"/>
        </w:rPr>
        <w:t>2010</w:t>
      </w:r>
      <w:r w:rsidR="00975D5E">
        <w:rPr>
          <w:rFonts w:hint="eastAsia"/>
        </w:rPr>
        <w:t>年末，</w:t>
      </w:r>
      <w:r w:rsidR="00975D5E">
        <w:rPr>
          <w:rFonts w:hint="eastAsia"/>
        </w:rPr>
        <w:t>2000</w:t>
      </w:r>
      <w:r w:rsidR="00975D5E">
        <w:rPr>
          <w:rFonts w:hint="eastAsia"/>
        </w:rPr>
        <w:t>年前建成的</w:t>
      </w:r>
      <w:r>
        <w:rPr>
          <w:rFonts w:hint="eastAsia"/>
        </w:rPr>
        <w:t>镇住房建筑面积约</w:t>
      </w:r>
      <w:r>
        <w:rPr>
          <w:rFonts w:hint="eastAsia"/>
        </w:rPr>
        <w:t>50.4</w:t>
      </w:r>
      <w:r>
        <w:rPr>
          <w:rFonts w:hint="eastAsia"/>
        </w:rPr>
        <w:t>亿平方米，</w:t>
      </w:r>
      <w:r w:rsidR="00975D5E">
        <w:rPr>
          <w:rFonts w:hint="eastAsia"/>
        </w:rPr>
        <w:t>城镇住房面积</w:t>
      </w:r>
      <w:r>
        <w:rPr>
          <w:rFonts w:hint="eastAsia"/>
        </w:rPr>
        <w:t>合计</w:t>
      </w:r>
      <w:r w:rsidR="00975D5E">
        <w:rPr>
          <w:rFonts w:hint="eastAsia"/>
        </w:rPr>
        <w:t>约</w:t>
      </w:r>
      <w:r w:rsidR="00975D5E">
        <w:rPr>
          <w:rFonts w:hint="eastAsia"/>
        </w:rPr>
        <w:t>118.8</w:t>
      </w:r>
      <w:r w:rsidR="00975D5E">
        <w:rPr>
          <w:rFonts w:hint="eastAsia"/>
        </w:rPr>
        <w:t>亿平方米。</w:t>
      </w:r>
    </w:p>
    <w:p w14:paraId="1836DBFE" w14:textId="6EB46868" w:rsidR="00975D5E" w:rsidRPr="00F56173" w:rsidRDefault="00975D5E" w:rsidP="00975D5E">
      <w:pPr>
        <w:pStyle w:val="ad"/>
        <w:rPr>
          <w:sz w:val="21"/>
          <w:szCs w:val="21"/>
        </w:rPr>
      </w:pPr>
      <w:r w:rsidRPr="00F56173">
        <w:rPr>
          <w:rFonts w:hint="eastAsia"/>
          <w:sz w:val="21"/>
          <w:szCs w:val="21"/>
        </w:rPr>
        <w:t>表</w:t>
      </w:r>
      <w:r w:rsidRPr="00F56173">
        <w:rPr>
          <w:rFonts w:hint="eastAsia"/>
          <w:sz w:val="21"/>
          <w:szCs w:val="21"/>
        </w:rPr>
        <w:t xml:space="preserve"> </w:t>
      </w:r>
      <w:r w:rsidRPr="00F56173">
        <w:rPr>
          <w:sz w:val="21"/>
          <w:szCs w:val="21"/>
        </w:rPr>
        <w:fldChar w:fldCharType="begin"/>
      </w:r>
      <w:r w:rsidRPr="00F56173">
        <w:rPr>
          <w:sz w:val="21"/>
          <w:szCs w:val="21"/>
        </w:rPr>
        <w:instrText xml:space="preserve"> </w:instrText>
      </w:r>
      <w:r w:rsidRPr="00F56173">
        <w:rPr>
          <w:rFonts w:hint="eastAsia"/>
          <w:sz w:val="21"/>
          <w:szCs w:val="21"/>
        </w:rPr>
        <w:instrText xml:space="preserve">SEQ </w:instrText>
      </w:r>
      <w:r w:rsidRPr="00F56173">
        <w:rPr>
          <w:rFonts w:hint="eastAsia"/>
          <w:sz w:val="21"/>
          <w:szCs w:val="21"/>
        </w:rPr>
        <w:instrText>表</w:instrText>
      </w:r>
      <w:r w:rsidRPr="00F56173">
        <w:rPr>
          <w:rFonts w:hint="eastAsia"/>
          <w:sz w:val="21"/>
          <w:szCs w:val="21"/>
        </w:rPr>
        <w:instrText xml:space="preserve"> \* ARABIC</w:instrText>
      </w:r>
      <w:r w:rsidRPr="00F56173">
        <w:rPr>
          <w:sz w:val="21"/>
          <w:szCs w:val="21"/>
        </w:rPr>
        <w:instrText xml:space="preserve"> </w:instrText>
      </w:r>
      <w:r w:rsidRPr="00F56173">
        <w:rPr>
          <w:sz w:val="21"/>
          <w:szCs w:val="21"/>
        </w:rPr>
        <w:fldChar w:fldCharType="separate"/>
      </w:r>
      <w:r w:rsidR="00DB5785" w:rsidRPr="00F56173">
        <w:rPr>
          <w:noProof/>
          <w:sz w:val="21"/>
          <w:szCs w:val="21"/>
        </w:rPr>
        <w:t>1</w:t>
      </w:r>
      <w:r w:rsidRPr="00F56173">
        <w:rPr>
          <w:sz w:val="21"/>
          <w:szCs w:val="21"/>
        </w:rPr>
        <w:fldChar w:fldCharType="end"/>
      </w:r>
      <w:r w:rsidRPr="00F56173">
        <w:rPr>
          <w:rFonts w:hint="eastAsia"/>
          <w:sz w:val="21"/>
          <w:szCs w:val="21"/>
        </w:rPr>
        <w:t>：</w:t>
      </w:r>
      <w:r w:rsidR="00AB3400" w:rsidRPr="00F56173">
        <w:rPr>
          <w:rFonts w:hint="eastAsia"/>
          <w:sz w:val="21"/>
          <w:szCs w:val="21"/>
        </w:rPr>
        <w:t>截至</w:t>
      </w:r>
      <w:r w:rsidR="00AB3400" w:rsidRPr="00F56173">
        <w:rPr>
          <w:rFonts w:hint="eastAsia"/>
          <w:sz w:val="21"/>
          <w:szCs w:val="21"/>
        </w:rPr>
        <w:t>2010</w:t>
      </w:r>
      <w:r w:rsidR="00AB3400" w:rsidRPr="00F56173">
        <w:rPr>
          <w:rFonts w:hint="eastAsia"/>
          <w:sz w:val="21"/>
          <w:szCs w:val="21"/>
        </w:rPr>
        <w:t>年末，</w:t>
      </w:r>
      <w:r w:rsidR="00AB3400" w:rsidRPr="00F56173">
        <w:rPr>
          <w:rFonts w:hint="eastAsia"/>
          <w:sz w:val="21"/>
          <w:szCs w:val="21"/>
        </w:rPr>
        <w:t>2000</w:t>
      </w:r>
      <w:r w:rsidR="00AB3400" w:rsidRPr="00F56173">
        <w:rPr>
          <w:rFonts w:hint="eastAsia"/>
          <w:sz w:val="21"/>
          <w:szCs w:val="21"/>
        </w:rPr>
        <w:t>年以前建成城镇住房建筑面积约</w:t>
      </w:r>
      <w:r w:rsidR="00AB3400" w:rsidRPr="00F56173">
        <w:rPr>
          <w:rFonts w:hint="eastAsia"/>
          <w:sz w:val="21"/>
          <w:szCs w:val="21"/>
        </w:rPr>
        <w:t>118.8</w:t>
      </w:r>
      <w:r w:rsidR="00AB3400" w:rsidRPr="00F56173">
        <w:rPr>
          <w:rFonts w:hint="eastAsia"/>
          <w:sz w:val="21"/>
          <w:szCs w:val="21"/>
        </w:rPr>
        <w:t>亿平</w:t>
      </w:r>
    </w:p>
    <w:tbl>
      <w:tblPr>
        <w:tblW w:w="9072" w:type="dxa"/>
        <w:tblLook w:val="04A0" w:firstRow="1" w:lastRow="0" w:firstColumn="1" w:lastColumn="0" w:noHBand="0" w:noVBand="1"/>
      </w:tblPr>
      <w:tblGrid>
        <w:gridCol w:w="1251"/>
        <w:gridCol w:w="2421"/>
        <w:gridCol w:w="1840"/>
        <w:gridCol w:w="1472"/>
        <w:gridCol w:w="2088"/>
      </w:tblGrid>
      <w:tr w:rsidR="00836E69" w:rsidRPr="00F56173" w14:paraId="0BA378EA" w14:textId="77777777" w:rsidTr="00836E69">
        <w:trPr>
          <w:trHeight w:val="20"/>
        </w:trPr>
        <w:tc>
          <w:tcPr>
            <w:tcW w:w="1134" w:type="dxa"/>
            <w:tcBorders>
              <w:top w:val="single" w:sz="4" w:space="0" w:color="auto"/>
              <w:left w:val="nil"/>
              <w:bottom w:val="single" w:sz="4" w:space="0" w:color="auto"/>
              <w:right w:val="nil"/>
            </w:tcBorders>
            <w:shd w:val="clear" w:color="000000" w:fill="EDEDED"/>
            <w:vAlign w:val="center"/>
            <w:hideMark/>
          </w:tcPr>
          <w:p w14:paraId="3B6E82FC" w14:textId="2C8E3B26" w:rsidR="00836E69" w:rsidRPr="00F56173" w:rsidRDefault="00836E69" w:rsidP="00836E69">
            <w:pPr>
              <w:spacing w:after="0" w:line="240" w:lineRule="auto"/>
              <w:ind w:right="0"/>
              <w:jc w:val="center"/>
              <w:rPr>
                <w:rFonts w:ascii="楷体" w:hAnsi="楷体" w:cs="宋体"/>
                <w:color w:val="000000"/>
                <w:szCs w:val="21"/>
              </w:rPr>
            </w:pPr>
          </w:p>
        </w:tc>
        <w:tc>
          <w:tcPr>
            <w:tcW w:w="2194" w:type="dxa"/>
            <w:tcBorders>
              <w:top w:val="single" w:sz="4" w:space="0" w:color="auto"/>
              <w:left w:val="nil"/>
              <w:bottom w:val="single" w:sz="4" w:space="0" w:color="auto"/>
              <w:right w:val="nil"/>
            </w:tcBorders>
            <w:shd w:val="clear" w:color="000000" w:fill="EDEDED"/>
            <w:vAlign w:val="center"/>
            <w:hideMark/>
          </w:tcPr>
          <w:p w14:paraId="19A3CC4D" w14:textId="77777777" w:rsidR="00836E69" w:rsidRPr="00F56173" w:rsidRDefault="00836E69" w:rsidP="00836E69">
            <w:pPr>
              <w:spacing w:after="0" w:line="240" w:lineRule="auto"/>
              <w:ind w:right="0"/>
              <w:jc w:val="center"/>
              <w:rPr>
                <w:rFonts w:ascii="楷体" w:hAnsi="楷体" w:cs="宋体"/>
                <w:color w:val="000000"/>
                <w:szCs w:val="21"/>
              </w:rPr>
            </w:pPr>
            <w:r w:rsidRPr="00F56173">
              <w:rPr>
                <w:rFonts w:ascii="楷体" w:hAnsi="楷体" w:cs="宋体" w:hint="eastAsia"/>
                <w:color w:val="000000"/>
                <w:szCs w:val="21"/>
              </w:rPr>
              <w:t>样本家庭户</w:t>
            </w:r>
            <w:r w:rsidRPr="00F56173">
              <w:rPr>
                <w:rFonts w:cs="Times New Roman"/>
                <w:color w:val="000000"/>
                <w:szCs w:val="21"/>
              </w:rPr>
              <w:t>2000</w:t>
            </w:r>
            <w:r w:rsidRPr="00F56173">
              <w:rPr>
                <w:rFonts w:ascii="楷体" w:hAnsi="楷体" w:cs="宋体" w:hint="eastAsia"/>
                <w:color w:val="000000"/>
                <w:szCs w:val="21"/>
              </w:rPr>
              <w:t>年以前建成建面（亿平）</w:t>
            </w:r>
          </w:p>
        </w:tc>
        <w:tc>
          <w:tcPr>
            <w:tcW w:w="1668" w:type="dxa"/>
            <w:tcBorders>
              <w:top w:val="single" w:sz="4" w:space="0" w:color="auto"/>
              <w:left w:val="nil"/>
              <w:bottom w:val="single" w:sz="4" w:space="0" w:color="auto"/>
              <w:right w:val="nil"/>
            </w:tcBorders>
            <w:shd w:val="clear" w:color="000000" w:fill="EDEDED"/>
            <w:vAlign w:val="center"/>
            <w:hideMark/>
          </w:tcPr>
          <w:p w14:paraId="3BE155C7" w14:textId="77777777" w:rsidR="00836E69" w:rsidRPr="00F56173" w:rsidRDefault="00836E69" w:rsidP="00836E69">
            <w:pPr>
              <w:spacing w:after="0" w:line="240" w:lineRule="auto"/>
              <w:ind w:right="0"/>
              <w:jc w:val="center"/>
              <w:rPr>
                <w:rFonts w:ascii="楷体" w:hAnsi="楷体" w:cs="宋体"/>
                <w:color w:val="000000"/>
                <w:szCs w:val="21"/>
              </w:rPr>
            </w:pPr>
            <w:r w:rsidRPr="00F56173">
              <w:rPr>
                <w:rFonts w:ascii="楷体" w:hAnsi="楷体" w:cs="宋体" w:hint="eastAsia"/>
                <w:color w:val="000000"/>
                <w:szCs w:val="21"/>
              </w:rPr>
              <w:t>样本占总体比例</w:t>
            </w:r>
          </w:p>
        </w:tc>
        <w:tc>
          <w:tcPr>
            <w:tcW w:w="1334" w:type="dxa"/>
            <w:tcBorders>
              <w:top w:val="single" w:sz="4" w:space="0" w:color="auto"/>
              <w:left w:val="nil"/>
              <w:bottom w:val="single" w:sz="4" w:space="0" w:color="auto"/>
              <w:right w:val="nil"/>
            </w:tcBorders>
            <w:shd w:val="clear" w:color="000000" w:fill="EDEDED"/>
            <w:vAlign w:val="center"/>
            <w:hideMark/>
          </w:tcPr>
          <w:p w14:paraId="4EA488C9" w14:textId="77777777" w:rsidR="00836E69" w:rsidRPr="00F56173" w:rsidRDefault="00836E69" w:rsidP="00836E69">
            <w:pPr>
              <w:spacing w:after="0" w:line="240" w:lineRule="auto"/>
              <w:ind w:right="0"/>
              <w:jc w:val="center"/>
              <w:rPr>
                <w:rFonts w:ascii="楷体" w:hAnsi="楷体" w:cs="宋体"/>
                <w:color w:val="000000"/>
                <w:szCs w:val="21"/>
              </w:rPr>
            </w:pPr>
            <w:r w:rsidRPr="00F56173">
              <w:rPr>
                <w:rFonts w:ascii="楷体" w:hAnsi="楷体" w:cs="宋体" w:hint="eastAsia"/>
                <w:color w:val="000000"/>
                <w:szCs w:val="21"/>
              </w:rPr>
              <w:t>家庭户占比</w:t>
            </w:r>
          </w:p>
        </w:tc>
        <w:tc>
          <w:tcPr>
            <w:tcW w:w="1892" w:type="dxa"/>
            <w:tcBorders>
              <w:top w:val="single" w:sz="4" w:space="0" w:color="auto"/>
              <w:left w:val="nil"/>
              <w:bottom w:val="single" w:sz="4" w:space="0" w:color="auto"/>
              <w:right w:val="nil"/>
            </w:tcBorders>
            <w:shd w:val="clear" w:color="000000" w:fill="EDEDED"/>
            <w:vAlign w:val="center"/>
            <w:hideMark/>
          </w:tcPr>
          <w:p w14:paraId="19206A87" w14:textId="77777777" w:rsidR="00836E69" w:rsidRPr="00F56173" w:rsidRDefault="00836E69" w:rsidP="00836E69">
            <w:pPr>
              <w:spacing w:after="0" w:line="240" w:lineRule="auto"/>
              <w:ind w:right="0"/>
              <w:jc w:val="center"/>
              <w:rPr>
                <w:rFonts w:cs="Times New Roman"/>
                <w:color w:val="000000"/>
                <w:szCs w:val="21"/>
              </w:rPr>
            </w:pPr>
            <w:r w:rsidRPr="00F56173">
              <w:rPr>
                <w:rFonts w:cs="Times New Roman"/>
                <w:color w:val="000000"/>
                <w:szCs w:val="21"/>
              </w:rPr>
              <w:t>2000</w:t>
            </w:r>
            <w:r w:rsidRPr="00F56173">
              <w:rPr>
                <w:rFonts w:ascii="楷体" w:hAnsi="楷体" w:cs="Times New Roman" w:hint="eastAsia"/>
                <w:color w:val="000000"/>
                <w:szCs w:val="21"/>
              </w:rPr>
              <w:t>年以前建成总建面（亿平）</w:t>
            </w:r>
          </w:p>
        </w:tc>
      </w:tr>
      <w:tr w:rsidR="00836E69" w:rsidRPr="00F56173" w14:paraId="64622688" w14:textId="77777777" w:rsidTr="00836E69">
        <w:trPr>
          <w:trHeight w:val="20"/>
        </w:trPr>
        <w:tc>
          <w:tcPr>
            <w:tcW w:w="1134" w:type="dxa"/>
            <w:tcBorders>
              <w:top w:val="nil"/>
              <w:left w:val="nil"/>
              <w:bottom w:val="nil"/>
              <w:right w:val="nil"/>
            </w:tcBorders>
            <w:shd w:val="clear" w:color="auto" w:fill="auto"/>
            <w:noWrap/>
            <w:vAlign w:val="center"/>
            <w:hideMark/>
          </w:tcPr>
          <w:p w14:paraId="19626182" w14:textId="77777777" w:rsidR="00836E69" w:rsidRPr="00F56173" w:rsidRDefault="00836E69" w:rsidP="00836E69">
            <w:pPr>
              <w:spacing w:after="0" w:line="240" w:lineRule="auto"/>
              <w:ind w:right="0"/>
              <w:jc w:val="center"/>
              <w:rPr>
                <w:rFonts w:ascii="楷体" w:hAnsi="楷体" w:cs="宋体"/>
                <w:color w:val="000000"/>
                <w:szCs w:val="21"/>
              </w:rPr>
            </w:pPr>
            <w:r w:rsidRPr="00F56173">
              <w:rPr>
                <w:rFonts w:ascii="楷体" w:hAnsi="楷体" w:cs="宋体" w:hint="eastAsia"/>
                <w:color w:val="000000"/>
                <w:szCs w:val="21"/>
              </w:rPr>
              <w:t>城市住房</w:t>
            </w:r>
          </w:p>
        </w:tc>
        <w:tc>
          <w:tcPr>
            <w:tcW w:w="2194" w:type="dxa"/>
            <w:tcBorders>
              <w:top w:val="nil"/>
              <w:left w:val="nil"/>
              <w:bottom w:val="nil"/>
              <w:right w:val="nil"/>
            </w:tcBorders>
            <w:shd w:val="clear" w:color="auto" w:fill="auto"/>
            <w:noWrap/>
            <w:vAlign w:val="center"/>
            <w:hideMark/>
          </w:tcPr>
          <w:p w14:paraId="6E436A0D" w14:textId="677FFE9D" w:rsidR="00836E69" w:rsidRPr="00F56173" w:rsidRDefault="00836E69" w:rsidP="00836E69">
            <w:pPr>
              <w:spacing w:after="0" w:line="240" w:lineRule="auto"/>
              <w:ind w:right="0"/>
              <w:jc w:val="center"/>
              <w:rPr>
                <w:rFonts w:cs="Times New Roman"/>
                <w:szCs w:val="21"/>
              </w:rPr>
            </w:pPr>
            <w:r w:rsidRPr="00F56173">
              <w:rPr>
                <w:rFonts w:cs="Times New Roman"/>
                <w:szCs w:val="21"/>
              </w:rPr>
              <w:t>5.64</w:t>
            </w:r>
          </w:p>
        </w:tc>
        <w:tc>
          <w:tcPr>
            <w:tcW w:w="1668" w:type="dxa"/>
            <w:tcBorders>
              <w:top w:val="nil"/>
              <w:left w:val="nil"/>
              <w:bottom w:val="nil"/>
              <w:right w:val="nil"/>
            </w:tcBorders>
            <w:shd w:val="clear" w:color="auto" w:fill="auto"/>
            <w:noWrap/>
            <w:vAlign w:val="center"/>
            <w:hideMark/>
          </w:tcPr>
          <w:p w14:paraId="2B486CE9" w14:textId="77777777" w:rsidR="00836E69" w:rsidRPr="00F56173" w:rsidRDefault="00836E69" w:rsidP="00836E69">
            <w:pPr>
              <w:spacing w:after="0" w:line="240" w:lineRule="auto"/>
              <w:ind w:right="0"/>
              <w:jc w:val="center"/>
              <w:rPr>
                <w:rFonts w:cs="Times New Roman"/>
                <w:szCs w:val="21"/>
              </w:rPr>
            </w:pPr>
            <w:r w:rsidRPr="00F56173">
              <w:rPr>
                <w:rFonts w:cs="Times New Roman"/>
                <w:szCs w:val="21"/>
              </w:rPr>
              <w:t>8.9%</w:t>
            </w:r>
          </w:p>
        </w:tc>
        <w:tc>
          <w:tcPr>
            <w:tcW w:w="1334" w:type="dxa"/>
            <w:tcBorders>
              <w:top w:val="nil"/>
              <w:left w:val="nil"/>
              <w:bottom w:val="nil"/>
              <w:right w:val="nil"/>
            </w:tcBorders>
            <w:shd w:val="clear" w:color="auto" w:fill="auto"/>
            <w:noWrap/>
            <w:vAlign w:val="center"/>
            <w:hideMark/>
          </w:tcPr>
          <w:p w14:paraId="1486E79C" w14:textId="77777777" w:rsidR="00836E69" w:rsidRPr="00F56173" w:rsidRDefault="00836E69" w:rsidP="00836E69">
            <w:pPr>
              <w:spacing w:after="0" w:line="240" w:lineRule="auto"/>
              <w:ind w:right="0"/>
              <w:jc w:val="center"/>
              <w:rPr>
                <w:rFonts w:cs="Times New Roman"/>
                <w:szCs w:val="21"/>
              </w:rPr>
            </w:pPr>
            <w:r w:rsidRPr="00F56173">
              <w:rPr>
                <w:rFonts w:cs="Times New Roman"/>
                <w:szCs w:val="21"/>
              </w:rPr>
              <w:t>92.4%</w:t>
            </w:r>
          </w:p>
        </w:tc>
        <w:tc>
          <w:tcPr>
            <w:tcW w:w="1892" w:type="dxa"/>
            <w:tcBorders>
              <w:top w:val="nil"/>
              <w:left w:val="nil"/>
              <w:bottom w:val="nil"/>
              <w:right w:val="nil"/>
            </w:tcBorders>
            <w:shd w:val="clear" w:color="auto" w:fill="auto"/>
            <w:noWrap/>
            <w:vAlign w:val="center"/>
            <w:hideMark/>
          </w:tcPr>
          <w:p w14:paraId="167011A8" w14:textId="3457B6C3" w:rsidR="00836E69" w:rsidRPr="00F56173" w:rsidRDefault="00836E69" w:rsidP="00836E69">
            <w:pPr>
              <w:spacing w:after="0" w:line="240" w:lineRule="auto"/>
              <w:ind w:right="0"/>
              <w:jc w:val="center"/>
              <w:rPr>
                <w:rFonts w:cs="Times New Roman"/>
                <w:szCs w:val="21"/>
              </w:rPr>
            </w:pPr>
            <w:r w:rsidRPr="00F56173">
              <w:rPr>
                <w:rFonts w:cs="Times New Roman"/>
                <w:szCs w:val="21"/>
              </w:rPr>
              <w:t>68.41</w:t>
            </w:r>
          </w:p>
        </w:tc>
      </w:tr>
      <w:tr w:rsidR="00836E69" w:rsidRPr="00F56173" w14:paraId="55FF8D66" w14:textId="77777777" w:rsidTr="00836E69">
        <w:trPr>
          <w:trHeight w:val="20"/>
        </w:trPr>
        <w:tc>
          <w:tcPr>
            <w:tcW w:w="1134" w:type="dxa"/>
            <w:tcBorders>
              <w:top w:val="nil"/>
              <w:left w:val="nil"/>
              <w:bottom w:val="single" w:sz="4" w:space="0" w:color="auto"/>
              <w:right w:val="nil"/>
            </w:tcBorders>
            <w:shd w:val="clear" w:color="auto" w:fill="auto"/>
            <w:noWrap/>
            <w:vAlign w:val="center"/>
            <w:hideMark/>
          </w:tcPr>
          <w:p w14:paraId="246D1AB5" w14:textId="77777777" w:rsidR="00836E69" w:rsidRPr="00F56173" w:rsidRDefault="00836E69" w:rsidP="00836E69">
            <w:pPr>
              <w:spacing w:after="0" w:line="240" w:lineRule="auto"/>
              <w:ind w:right="0"/>
              <w:jc w:val="center"/>
              <w:rPr>
                <w:rFonts w:ascii="楷体" w:hAnsi="楷体" w:cs="宋体"/>
                <w:color w:val="000000"/>
                <w:szCs w:val="21"/>
              </w:rPr>
            </w:pPr>
            <w:r w:rsidRPr="00F56173">
              <w:rPr>
                <w:rFonts w:ascii="楷体" w:hAnsi="楷体" w:cs="宋体" w:hint="eastAsia"/>
                <w:color w:val="000000"/>
                <w:szCs w:val="21"/>
              </w:rPr>
              <w:t>镇住房</w:t>
            </w:r>
          </w:p>
        </w:tc>
        <w:tc>
          <w:tcPr>
            <w:tcW w:w="2194" w:type="dxa"/>
            <w:tcBorders>
              <w:top w:val="nil"/>
              <w:left w:val="nil"/>
              <w:bottom w:val="single" w:sz="4" w:space="0" w:color="auto"/>
              <w:right w:val="nil"/>
            </w:tcBorders>
            <w:shd w:val="clear" w:color="auto" w:fill="auto"/>
            <w:noWrap/>
            <w:vAlign w:val="center"/>
            <w:hideMark/>
          </w:tcPr>
          <w:p w14:paraId="08A6496E" w14:textId="240B15A2" w:rsidR="00836E69" w:rsidRPr="00F56173" w:rsidRDefault="00836E69" w:rsidP="00836E69">
            <w:pPr>
              <w:spacing w:after="0" w:line="240" w:lineRule="auto"/>
              <w:ind w:right="0"/>
              <w:jc w:val="center"/>
              <w:rPr>
                <w:rFonts w:cs="Times New Roman"/>
                <w:szCs w:val="21"/>
              </w:rPr>
            </w:pPr>
            <w:r w:rsidRPr="00F56173">
              <w:rPr>
                <w:rFonts w:cs="Times New Roman"/>
                <w:szCs w:val="21"/>
              </w:rPr>
              <w:t>4.66</w:t>
            </w:r>
          </w:p>
        </w:tc>
        <w:tc>
          <w:tcPr>
            <w:tcW w:w="1668" w:type="dxa"/>
            <w:tcBorders>
              <w:top w:val="nil"/>
              <w:left w:val="nil"/>
              <w:bottom w:val="single" w:sz="4" w:space="0" w:color="auto"/>
              <w:right w:val="nil"/>
            </w:tcBorders>
            <w:shd w:val="clear" w:color="auto" w:fill="auto"/>
            <w:noWrap/>
            <w:vAlign w:val="center"/>
            <w:hideMark/>
          </w:tcPr>
          <w:p w14:paraId="6E5BB2DC" w14:textId="77777777" w:rsidR="00836E69" w:rsidRPr="00F56173" w:rsidRDefault="00836E69" w:rsidP="00836E69">
            <w:pPr>
              <w:spacing w:after="0" w:line="240" w:lineRule="auto"/>
              <w:ind w:right="0"/>
              <w:jc w:val="center"/>
              <w:rPr>
                <w:rFonts w:cs="Times New Roman"/>
                <w:szCs w:val="21"/>
              </w:rPr>
            </w:pPr>
            <w:r w:rsidRPr="00F56173">
              <w:rPr>
                <w:rFonts w:cs="Times New Roman"/>
                <w:szCs w:val="21"/>
              </w:rPr>
              <w:t>9.6%</w:t>
            </w:r>
          </w:p>
        </w:tc>
        <w:tc>
          <w:tcPr>
            <w:tcW w:w="1334" w:type="dxa"/>
            <w:tcBorders>
              <w:top w:val="nil"/>
              <w:left w:val="nil"/>
              <w:bottom w:val="single" w:sz="4" w:space="0" w:color="auto"/>
              <w:right w:val="nil"/>
            </w:tcBorders>
            <w:shd w:val="clear" w:color="auto" w:fill="auto"/>
            <w:noWrap/>
            <w:vAlign w:val="center"/>
            <w:hideMark/>
          </w:tcPr>
          <w:p w14:paraId="4EE9A113" w14:textId="77777777" w:rsidR="00836E69" w:rsidRPr="00F56173" w:rsidRDefault="00836E69" w:rsidP="00836E69">
            <w:pPr>
              <w:spacing w:after="0" w:line="240" w:lineRule="auto"/>
              <w:ind w:right="0"/>
              <w:jc w:val="center"/>
              <w:rPr>
                <w:rFonts w:cs="Times New Roman"/>
                <w:szCs w:val="21"/>
              </w:rPr>
            </w:pPr>
            <w:r w:rsidRPr="00F56173">
              <w:rPr>
                <w:rFonts w:cs="Times New Roman"/>
                <w:szCs w:val="21"/>
              </w:rPr>
              <w:t>96.0%</w:t>
            </w:r>
          </w:p>
        </w:tc>
        <w:tc>
          <w:tcPr>
            <w:tcW w:w="1892" w:type="dxa"/>
            <w:tcBorders>
              <w:top w:val="nil"/>
              <w:left w:val="nil"/>
              <w:bottom w:val="single" w:sz="4" w:space="0" w:color="auto"/>
              <w:right w:val="nil"/>
            </w:tcBorders>
            <w:shd w:val="clear" w:color="auto" w:fill="auto"/>
            <w:noWrap/>
            <w:vAlign w:val="center"/>
            <w:hideMark/>
          </w:tcPr>
          <w:p w14:paraId="73D5392E" w14:textId="5849A391" w:rsidR="00836E69" w:rsidRPr="00F56173" w:rsidRDefault="00836E69" w:rsidP="00836E69">
            <w:pPr>
              <w:spacing w:after="0" w:line="240" w:lineRule="auto"/>
              <w:ind w:right="0"/>
              <w:jc w:val="center"/>
              <w:rPr>
                <w:rFonts w:cs="Times New Roman"/>
                <w:szCs w:val="21"/>
              </w:rPr>
            </w:pPr>
            <w:r w:rsidRPr="00F56173">
              <w:rPr>
                <w:rFonts w:cs="Times New Roman"/>
                <w:szCs w:val="21"/>
              </w:rPr>
              <w:t>50.38</w:t>
            </w:r>
          </w:p>
        </w:tc>
      </w:tr>
      <w:tr w:rsidR="00836E69" w:rsidRPr="00F56173" w14:paraId="62DFD660" w14:textId="77777777" w:rsidTr="00836E69">
        <w:trPr>
          <w:trHeight w:val="20"/>
        </w:trPr>
        <w:tc>
          <w:tcPr>
            <w:tcW w:w="1134" w:type="dxa"/>
            <w:tcBorders>
              <w:top w:val="nil"/>
              <w:left w:val="nil"/>
              <w:bottom w:val="nil"/>
              <w:right w:val="nil"/>
            </w:tcBorders>
            <w:shd w:val="clear" w:color="auto" w:fill="auto"/>
            <w:noWrap/>
            <w:vAlign w:val="center"/>
            <w:hideMark/>
          </w:tcPr>
          <w:p w14:paraId="47E06D47" w14:textId="77777777" w:rsidR="00836E69" w:rsidRPr="00F56173" w:rsidRDefault="00836E69" w:rsidP="00836E69">
            <w:pPr>
              <w:spacing w:after="0" w:line="240" w:lineRule="auto"/>
              <w:ind w:right="0"/>
              <w:jc w:val="center"/>
              <w:rPr>
                <w:rFonts w:ascii="楷体" w:hAnsi="楷体" w:cs="宋体"/>
                <w:color w:val="000000"/>
                <w:szCs w:val="21"/>
              </w:rPr>
            </w:pPr>
            <w:r w:rsidRPr="00F56173">
              <w:rPr>
                <w:rFonts w:ascii="楷体" w:hAnsi="楷体" w:cs="宋体" w:hint="eastAsia"/>
                <w:color w:val="000000"/>
                <w:szCs w:val="21"/>
              </w:rPr>
              <w:t>合计</w:t>
            </w:r>
          </w:p>
        </w:tc>
        <w:tc>
          <w:tcPr>
            <w:tcW w:w="2194" w:type="dxa"/>
            <w:tcBorders>
              <w:top w:val="nil"/>
              <w:left w:val="nil"/>
              <w:bottom w:val="nil"/>
              <w:right w:val="nil"/>
            </w:tcBorders>
            <w:shd w:val="clear" w:color="auto" w:fill="auto"/>
            <w:noWrap/>
            <w:vAlign w:val="center"/>
            <w:hideMark/>
          </w:tcPr>
          <w:p w14:paraId="07CD13DD" w14:textId="77777777" w:rsidR="00836E69" w:rsidRPr="00F56173" w:rsidRDefault="00836E69" w:rsidP="00836E69">
            <w:pPr>
              <w:spacing w:after="0" w:line="240" w:lineRule="auto"/>
              <w:ind w:right="0"/>
              <w:jc w:val="center"/>
              <w:rPr>
                <w:rFonts w:ascii="楷体" w:hAnsi="楷体" w:cs="宋体"/>
                <w:color w:val="000000"/>
                <w:szCs w:val="21"/>
              </w:rPr>
            </w:pPr>
          </w:p>
        </w:tc>
        <w:tc>
          <w:tcPr>
            <w:tcW w:w="1668" w:type="dxa"/>
            <w:tcBorders>
              <w:top w:val="nil"/>
              <w:left w:val="nil"/>
              <w:bottom w:val="nil"/>
              <w:right w:val="nil"/>
            </w:tcBorders>
            <w:shd w:val="clear" w:color="auto" w:fill="auto"/>
            <w:noWrap/>
            <w:vAlign w:val="center"/>
            <w:hideMark/>
          </w:tcPr>
          <w:p w14:paraId="617FBB4F" w14:textId="77777777" w:rsidR="00836E69" w:rsidRPr="00F56173" w:rsidRDefault="00836E69" w:rsidP="00836E69">
            <w:pPr>
              <w:spacing w:after="0" w:line="240" w:lineRule="auto"/>
              <w:ind w:right="0"/>
              <w:jc w:val="center"/>
              <w:rPr>
                <w:rFonts w:eastAsia="Times New Roman" w:cs="Times New Roman"/>
                <w:szCs w:val="21"/>
              </w:rPr>
            </w:pPr>
          </w:p>
        </w:tc>
        <w:tc>
          <w:tcPr>
            <w:tcW w:w="1334" w:type="dxa"/>
            <w:tcBorders>
              <w:top w:val="nil"/>
              <w:left w:val="nil"/>
              <w:bottom w:val="nil"/>
              <w:right w:val="nil"/>
            </w:tcBorders>
            <w:shd w:val="clear" w:color="auto" w:fill="auto"/>
            <w:noWrap/>
            <w:vAlign w:val="center"/>
            <w:hideMark/>
          </w:tcPr>
          <w:p w14:paraId="7C419E1C" w14:textId="77777777" w:rsidR="00836E69" w:rsidRPr="00F56173" w:rsidRDefault="00836E69" w:rsidP="00836E69">
            <w:pPr>
              <w:spacing w:after="0" w:line="240" w:lineRule="auto"/>
              <w:ind w:right="0"/>
              <w:jc w:val="center"/>
              <w:rPr>
                <w:rFonts w:eastAsia="Times New Roman" w:cs="Times New Roman"/>
                <w:szCs w:val="21"/>
              </w:rPr>
            </w:pPr>
          </w:p>
        </w:tc>
        <w:tc>
          <w:tcPr>
            <w:tcW w:w="1892" w:type="dxa"/>
            <w:tcBorders>
              <w:top w:val="nil"/>
              <w:left w:val="nil"/>
              <w:bottom w:val="nil"/>
              <w:right w:val="nil"/>
            </w:tcBorders>
            <w:shd w:val="clear" w:color="auto" w:fill="auto"/>
            <w:noWrap/>
            <w:vAlign w:val="center"/>
            <w:hideMark/>
          </w:tcPr>
          <w:p w14:paraId="7C5BA542" w14:textId="1C14E8F7" w:rsidR="00836E69" w:rsidRPr="00F56173" w:rsidRDefault="00836E69" w:rsidP="00836E69">
            <w:pPr>
              <w:spacing w:after="0" w:line="240" w:lineRule="auto"/>
              <w:ind w:right="0"/>
              <w:jc w:val="center"/>
              <w:rPr>
                <w:rFonts w:cs="Times New Roman"/>
                <w:szCs w:val="21"/>
              </w:rPr>
            </w:pPr>
            <w:r w:rsidRPr="00F56173">
              <w:rPr>
                <w:rFonts w:cs="Times New Roman"/>
                <w:szCs w:val="21"/>
              </w:rPr>
              <w:t>118.79</w:t>
            </w:r>
          </w:p>
        </w:tc>
      </w:tr>
    </w:tbl>
    <w:p w14:paraId="1331732F" w14:textId="2B2A523C" w:rsidR="00055570" w:rsidRPr="00D24D84" w:rsidRDefault="00AB3400" w:rsidP="00AB3400">
      <w:pPr>
        <w:spacing w:before="100"/>
        <w:rPr>
          <w:rFonts w:cs="Times New Roman"/>
          <w:sz w:val="18"/>
        </w:rPr>
      </w:pPr>
      <w:r>
        <w:rPr>
          <w:rFonts w:cs="Times New Roman"/>
          <w:sz w:val="18"/>
        </w:rPr>
        <w:t>数据来源</w:t>
      </w:r>
      <w:r w:rsidRPr="00EF5C8A">
        <w:rPr>
          <w:rFonts w:cs="Times New Roman"/>
          <w:sz w:val="18"/>
        </w:rPr>
        <w:t>：</w:t>
      </w:r>
      <w:r>
        <w:rPr>
          <w:rFonts w:cs="Times New Roman" w:hint="eastAsia"/>
          <w:sz w:val="18"/>
        </w:rPr>
        <w:t>国家统计局，</w:t>
      </w:r>
      <w:r w:rsidRPr="00EF5C8A">
        <w:rPr>
          <w:rFonts w:cs="Times New Roman"/>
          <w:sz w:val="18"/>
        </w:rPr>
        <w:t>中</w:t>
      </w:r>
      <w:proofErr w:type="gramStart"/>
      <w:r w:rsidRPr="00EF5C8A">
        <w:rPr>
          <w:rFonts w:cs="Times New Roman"/>
          <w:sz w:val="18"/>
        </w:rPr>
        <w:t>达证券</w:t>
      </w:r>
      <w:proofErr w:type="gramEnd"/>
      <w:r w:rsidRPr="00EF5C8A">
        <w:rPr>
          <w:rFonts w:cs="Times New Roman"/>
          <w:sz w:val="18"/>
        </w:rPr>
        <w:t>研究</w:t>
      </w:r>
    </w:p>
    <w:p w14:paraId="7159072A" w14:textId="3C91E260" w:rsidR="00975D5E" w:rsidRDefault="00AB3400" w:rsidP="00975D5E">
      <w:r w:rsidRPr="003A5EC0">
        <w:rPr>
          <w:rFonts w:hint="eastAsia"/>
          <w:b/>
          <w:bCs/>
        </w:rPr>
        <w:lastRenderedPageBreak/>
        <w:t>推算截至</w:t>
      </w:r>
      <w:r w:rsidRPr="003A5EC0">
        <w:rPr>
          <w:rFonts w:hint="eastAsia"/>
          <w:b/>
          <w:bCs/>
        </w:rPr>
        <w:t>2019</w:t>
      </w:r>
      <w:r w:rsidRPr="003A5EC0">
        <w:rPr>
          <w:rFonts w:hint="eastAsia"/>
          <w:b/>
          <w:bCs/>
        </w:rPr>
        <w:t>年末，</w:t>
      </w:r>
      <w:r w:rsidR="00506E63">
        <w:rPr>
          <w:rFonts w:hint="eastAsia"/>
          <w:b/>
          <w:bCs/>
        </w:rPr>
        <w:t>老旧小区</w:t>
      </w:r>
      <w:r w:rsidR="007F51B5">
        <w:rPr>
          <w:rFonts w:hint="eastAsia"/>
          <w:b/>
          <w:bCs/>
        </w:rPr>
        <w:t>未来</w:t>
      </w:r>
      <w:r w:rsidR="00506E63">
        <w:rPr>
          <w:rFonts w:hint="eastAsia"/>
          <w:b/>
          <w:bCs/>
        </w:rPr>
        <w:t>改造所需</w:t>
      </w:r>
      <w:r w:rsidR="007F51B5">
        <w:rPr>
          <w:rFonts w:hint="eastAsia"/>
          <w:b/>
          <w:bCs/>
        </w:rPr>
        <w:t>总</w:t>
      </w:r>
      <w:r w:rsidR="00506E63">
        <w:rPr>
          <w:rFonts w:hint="eastAsia"/>
          <w:b/>
          <w:bCs/>
        </w:rPr>
        <w:t>投资额大于</w:t>
      </w:r>
      <w:r w:rsidR="00B07B2D">
        <w:rPr>
          <w:rFonts w:hint="eastAsia"/>
          <w:b/>
          <w:bCs/>
        </w:rPr>
        <w:t>6</w:t>
      </w:r>
      <w:proofErr w:type="gramStart"/>
      <w:r w:rsidR="00C124BB">
        <w:rPr>
          <w:rFonts w:hint="eastAsia"/>
          <w:b/>
          <w:bCs/>
        </w:rPr>
        <w:t>万</w:t>
      </w:r>
      <w:r w:rsidR="00506E63">
        <w:rPr>
          <w:rFonts w:hint="eastAsia"/>
          <w:b/>
          <w:bCs/>
        </w:rPr>
        <w:t>亿</w:t>
      </w:r>
      <w:proofErr w:type="gramEnd"/>
      <w:r w:rsidR="00506E63">
        <w:rPr>
          <w:rFonts w:hint="eastAsia"/>
          <w:b/>
          <w:bCs/>
        </w:rPr>
        <w:t>元</w:t>
      </w:r>
      <w:r w:rsidRPr="003A5EC0">
        <w:rPr>
          <w:rFonts w:hint="eastAsia"/>
          <w:b/>
          <w:bCs/>
        </w:rPr>
        <w:t>。</w:t>
      </w:r>
      <w:r>
        <w:rPr>
          <w:rFonts w:hint="eastAsia"/>
        </w:rPr>
        <w:t>考虑到老旧住宅的拆除，</w:t>
      </w:r>
      <w:r>
        <w:rPr>
          <w:rFonts w:hint="eastAsia"/>
        </w:rPr>
        <w:t>2000</w:t>
      </w:r>
      <w:r>
        <w:rPr>
          <w:rFonts w:hint="eastAsia"/>
        </w:rPr>
        <w:t>年以前建成的城镇住房建筑面积在持续减少。</w:t>
      </w:r>
      <w:r w:rsidR="00C62519">
        <w:rPr>
          <w:rFonts w:hint="eastAsia"/>
        </w:rPr>
        <w:t>根据住建部</w:t>
      </w:r>
      <w:r w:rsidR="00C62519" w:rsidRPr="00C62519">
        <w:rPr>
          <w:rFonts w:hint="eastAsia"/>
        </w:rPr>
        <w:t>2018</w:t>
      </w:r>
      <w:r w:rsidR="00C62519" w:rsidRPr="00C62519">
        <w:rPr>
          <w:rFonts w:hint="eastAsia"/>
        </w:rPr>
        <w:t>年发布</w:t>
      </w:r>
      <w:r w:rsidR="00C62519">
        <w:rPr>
          <w:rFonts w:hint="eastAsia"/>
        </w:rPr>
        <w:t>的</w:t>
      </w:r>
      <w:r w:rsidR="00C62519" w:rsidRPr="00C62519">
        <w:rPr>
          <w:rFonts w:hint="eastAsia"/>
        </w:rPr>
        <w:t>建筑结构可靠性设计统一标准</w:t>
      </w:r>
      <w:r w:rsidR="00C62519">
        <w:rPr>
          <w:rFonts w:hint="eastAsia"/>
        </w:rPr>
        <w:t>，普通房屋和构筑物的涉及使用年限为</w:t>
      </w:r>
      <w:r w:rsidR="00C62519">
        <w:rPr>
          <w:rFonts w:hint="eastAsia"/>
        </w:rPr>
        <w:t>50</w:t>
      </w:r>
      <w:r w:rsidR="00C62519">
        <w:rPr>
          <w:rFonts w:hint="eastAsia"/>
        </w:rPr>
        <w:t>年，</w:t>
      </w:r>
      <w:r w:rsidR="00856AD8">
        <w:rPr>
          <w:rFonts w:hint="eastAsia"/>
        </w:rPr>
        <w:t>假设住房以直线折旧，</w:t>
      </w:r>
      <w:proofErr w:type="gramStart"/>
      <w:r w:rsidR="00856AD8">
        <w:rPr>
          <w:rFonts w:hint="eastAsia"/>
        </w:rPr>
        <w:t>则</w:t>
      </w:r>
      <w:r>
        <w:rPr>
          <w:rFonts w:hint="eastAsia"/>
        </w:rPr>
        <w:t>住宅</w:t>
      </w:r>
      <w:proofErr w:type="gramEnd"/>
      <w:r>
        <w:rPr>
          <w:rFonts w:hint="eastAsia"/>
        </w:rPr>
        <w:t>年折旧率约为</w:t>
      </w:r>
      <w:r>
        <w:rPr>
          <w:rFonts w:hint="eastAsia"/>
        </w:rPr>
        <w:t>2%</w:t>
      </w:r>
      <w:r w:rsidR="00856AD8">
        <w:rPr>
          <w:rFonts w:hint="eastAsia"/>
        </w:rPr>
        <w:t>。</w:t>
      </w:r>
      <w:r w:rsidR="008C58FE">
        <w:rPr>
          <w:rFonts w:hint="eastAsia"/>
        </w:rPr>
        <w:t>国内</w:t>
      </w:r>
      <w:r w:rsidR="008C58FE">
        <w:rPr>
          <w:rFonts w:hint="eastAsia"/>
        </w:rPr>
        <w:t>2000</w:t>
      </w:r>
      <w:r w:rsidR="008C58FE">
        <w:rPr>
          <w:rFonts w:hint="eastAsia"/>
        </w:rPr>
        <w:t>年前建成住房质量相对较差，</w:t>
      </w:r>
      <w:r>
        <w:rPr>
          <w:rFonts w:hint="eastAsia"/>
        </w:rPr>
        <w:t>如只考虑</w:t>
      </w:r>
      <w:r>
        <w:rPr>
          <w:rFonts w:hint="eastAsia"/>
        </w:rPr>
        <w:t>2000</w:t>
      </w:r>
      <w:r>
        <w:rPr>
          <w:rFonts w:hint="eastAsia"/>
        </w:rPr>
        <w:t>年以前建成住宅，适用折旧率</w:t>
      </w:r>
      <w:r w:rsidR="00FF2175">
        <w:rPr>
          <w:rFonts w:hint="eastAsia"/>
        </w:rPr>
        <w:t>或</w:t>
      </w:r>
      <w:r>
        <w:rPr>
          <w:rFonts w:hint="eastAsia"/>
        </w:rPr>
        <w:t>将</w:t>
      </w:r>
      <w:r w:rsidR="00DF099A">
        <w:rPr>
          <w:rFonts w:hint="eastAsia"/>
        </w:rPr>
        <w:t>更大。我们分别测算了每年拆除</w:t>
      </w:r>
      <w:r w:rsidR="00DF099A">
        <w:rPr>
          <w:rFonts w:hint="eastAsia"/>
        </w:rPr>
        <w:t>2%</w:t>
      </w:r>
      <w:r w:rsidR="00DF099A">
        <w:rPr>
          <w:rFonts w:hint="eastAsia"/>
        </w:rPr>
        <w:t>、</w:t>
      </w:r>
      <w:r w:rsidR="00024C90">
        <w:rPr>
          <w:rFonts w:hint="eastAsia"/>
        </w:rPr>
        <w:t>2.5</w:t>
      </w:r>
      <w:r w:rsidR="00DF099A">
        <w:rPr>
          <w:rFonts w:hint="eastAsia"/>
        </w:rPr>
        <w:t>%</w:t>
      </w:r>
      <w:r w:rsidR="00DF099A">
        <w:rPr>
          <w:rFonts w:hint="eastAsia"/>
        </w:rPr>
        <w:t>和</w:t>
      </w:r>
      <w:r w:rsidR="00024C90">
        <w:rPr>
          <w:rFonts w:hint="eastAsia"/>
        </w:rPr>
        <w:t>3</w:t>
      </w:r>
      <w:r w:rsidR="00DF099A">
        <w:rPr>
          <w:rFonts w:hint="eastAsia"/>
        </w:rPr>
        <w:t>% 2000</w:t>
      </w:r>
      <w:r w:rsidR="00DF099A">
        <w:rPr>
          <w:rFonts w:hint="eastAsia"/>
        </w:rPr>
        <w:t>年前建成住宅的情形，根据测算，截至</w:t>
      </w:r>
      <w:r w:rsidR="00DF099A">
        <w:rPr>
          <w:rFonts w:hint="eastAsia"/>
        </w:rPr>
        <w:t>2019</w:t>
      </w:r>
      <w:r w:rsidR="00DF099A">
        <w:rPr>
          <w:rFonts w:hint="eastAsia"/>
        </w:rPr>
        <w:t>年末，</w:t>
      </w:r>
      <w:r w:rsidR="00DF099A">
        <w:rPr>
          <w:rFonts w:hint="eastAsia"/>
        </w:rPr>
        <w:t>2000</w:t>
      </w:r>
      <w:r w:rsidR="00DF099A">
        <w:rPr>
          <w:rFonts w:hint="eastAsia"/>
        </w:rPr>
        <w:t>年以前建成城镇住房建筑面积在上述情形下分别约为</w:t>
      </w:r>
      <w:r w:rsidR="003A5EC0">
        <w:rPr>
          <w:rFonts w:hint="eastAsia"/>
        </w:rPr>
        <w:t>99.0</w:t>
      </w:r>
      <w:r w:rsidR="003A5EC0">
        <w:rPr>
          <w:rFonts w:hint="eastAsia"/>
        </w:rPr>
        <w:t>、</w:t>
      </w:r>
      <w:r w:rsidR="00DB5785">
        <w:t>94.6</w:t>
      </w:r>
      <w:r w:rsidR="003A5EC0">
        <w:rPr>
          <w:rFonts w:hint="eastAsia"/>
        </w:rPr>
        <w:t>和</w:t>
      </w:r>
      <w:r w:rsidR="00DB5785">
        <w:t>90.3</w:t>
      </w:r>
      <w:r w:rsidR="003A5EC0">
        <w:rPr>
          <w:rFonts w:hint="eastAsia"/>
        </w:rPr>
        <w:t>亿平。</w:t>
      </w:r>
      <w:r w:rsidR="00C124BB">
        <w:rPr>
          <w:rFonts w:hint="eastAsia"/>
        </w:rPr>
        <w:t>江苏省截至</w:t>
      </w:r>
      <w:r w:rsidR="00C124BB">
        <w:rPr>
          <w:rFonts w:hint="eastAsia"/>
        </w:rPr>
        <w:t>2015</w:t>
      </w:r>
      <w:r w:rsidR="00C124BB">
        <w:rPr>
          <w:rFonts w:hint="eastAsia"/>
        </w:rPr>
        <w:t>年</w:t>
      </w:r>
      <w:r w:rsidR="00C124BB">
        <w:rPr>
          <w:rFonts w:hint="eastAsia"/>
        </w:rPr>
        <w:t>8</w:t>
      </w:r>
      <w:r w:rsidR="00C124BB">
        <w:rPr>
          <w:rFonts w:hint="eastAsia"/>
        </w:rPr>
        <w:t>月，</w:t>
      </w:r>
      <w:r w:rsidR="00B07B2D">
        <w:rPr>
          <w:rFonts w:hint="eastAsia"/>
        </w:rPr>
        <w:t>上报</w:t>
      </w:r>
      <w:r w:rsidR="00C124BB">
        <w:rPr>
          <w:rFonts w:hint="eastAsia"/>
        </w:rPr>
        <w:t>需改造的老旧小区占</w:t>
      </w:r>
      <w:r w:rsidR="00C124BB">
        <w:rPr>
          <w:rFonts w:hint="eastAsia"/>
        </w:rPr>
        <w:t>2000</w:t>
      </w:r>
      <w:r w:rsidR="00C124BB">
        <w:rPr>
          <w:rFonts w:hint="eastAsia"/>
        </w:rPr>
        <w:t>年前建成小区的</w:t>
      </w:r>
      <w:r w:rsidR="00C124BB">
        <w:rPr>
          <w:rFonts w:hint="eastAsia"/>
        </w:rPr>
        <w:t>47%</w:t>
      </w:r>
      <w:r w:rsidR="00C124BB">
        <w:rPr>
          <w:rFonts w:hint="eastAsia"/>
        </w:rPr>
        <w:t>，</w:t>
      </w:r>
      <w:r w:rsidR="00A53ABA">
        <w:rPr>
          <w:rFonts w:hint="eastAsia"/>
        </w:rPr>
        <w:t>考虑到排查和上报或不完全，</w:t>
      </w:r>
      <w:r w:rsidR="00B07B2D">
        <w:rPr>
          <w:rFonts w:hint="eastAsia"/>
        </w:rPr>
        <w:t>假设</w:t>
      </w:r>
      <w:r w:rsidR="006C0A7A">
        <w:rPr>
          <w:rFonts w:hint="eastAsia"/>
        </w:rPr>
        <w:t>全国</w:t>
      </w:r>
      <w:r w:rsidR="00B07B2D">
        <w:rPr>
          <w:rFonts w:hint="eastAsia"/>
        </w:rPr>
        <w:t>实际需改造的老旧小区</w:t>
      </w:r>
      <w:r w:rsidR="00EB4200">
        <w:rPr>
          <w:rFonts w:hint="eastAsia"/>
        </w:rPr>
        <w:t>面积</w:t>
      </w:r>
      <w:r w:rsidR="00B07B2D">
        <w:rPr>
          <w:rFonts w:hint="eastAsia"/>
        </w:rPr>
        <w:t>占</w:t>
      </w:r>
      <w:r w:rsidR="00EB4200">
        <w:rPr>
          <w:rFonts w:hint="eastAsia"/>
        </w:rPr>
        <w:t>2000</w:t>
      </w:r>
      <w:r w:rsidR="00EB4200">
        <w:rPr>
          <w:rFonts w:hint="eastAsia"/>
        </w:rPr>
        <w:t>年前建成住房面积的</w:t>
      </w:r>
      <w:r w:rsidR="00B07B2D">
        <w:rPr>
          <w:rFonts w:hint="eastAsia"/>
        </w:rPr>
        <w:t>60%</w:t>
      </w:r>
      <w:r w:rsidR="00B07B2D">
        <w:rPr>
          <w:rFonts w:hint="eastAsia"/>
        </w:rPr>
        <w:t>，</w:t>
      </w:r>
      <w:r w:rsidR="00C124BB">
        <w:rPr>
          <w:rFonts w:hint="eastAsia"/>
        </w:rPr>
        <w:t>则老旧小区对应面积约为</w:t>
      </w:r>
      <w:r w:rsidR="00B07B2D">
        <w:rPr>
          <w:rFonts w:hint="eastAsia"/>
        </w:rPr>
        <w:t>59.4</w:t>
      </w:r>
      <w:r w:rsidR="00C124BB">
        <w:rPr>
          <w:rFonts w:hint="eastAsia"/>
        </w:rPr>
        <w:t>、</w:t>
      </w:r>
      <w:r w:rsidR="00B07B2D">
        <w:rPr>
          <w:rFonts w:hint="eastAsia"/>
        </w:rPr>
        <w:t>56.7</w:t>
      </w:r>
      <w:r w:rsidR="00C124BB">
        <w:rPr>
          <w:rFonts w:hint="eastAsia"/>
        </w:rPr>
        <w:t>和</w:t>
      </w:r>
      <w:r w:rsidR="00B07B2D">
        <w:rPr>
          <w:rFonts w:hint="eastAsia"/>
        </w:rPr>
        <w:t>54.2</w:t>
      </w:r>
      <w:r w:rsidR="00C124BB">
        <w:rPr>
          <w:rFonts w:hint="eastAsia"/>
        </w:rPr>
        <w:t>亿平。</w:t>
      </w:r>
      <w:r w:rsidR="00AF4F42">
        <w:rPr>
          <w:rFonts w:hint="eastAsia"/>
        </w:rPr>
        <w:t>根据住建部的摸排情况，老旧小区改造的平均成本约为</w:t>
      </w:r>
      <w:r w:rsidR="00AF4F42">
        <w:rPr>
          <w:rFonts w:hint="eastAsia"/>
        </w:rPr>
        <w:t>1250</w:t>
      </w:r>
      <w:r w:rsidR="00AF4F42">
        <w:rPr>
          <w:rFonts w:hint="eastAsia"/>
        </w:rPr>
        <w:t>元</w:t>
      </w:r>
      <w:r w:rsidR="00AF4F42">
        <w:rPr>
          <w:rFonts w:hint="eastAsia"/>
        </w:rPr>
        <w:t>/</w:t>
      </w:r>
      <w:r w:rsidR="00AF4F42">
        <w:rPr>
          <w:rFonts w:hint="eastAsia"/>
        </w:rPr>
        <w:t>平方米，</w:t>
      </w:r>
      <w:r w:rsidR="00506E63">
        <w:rPr>
          <w:rFonts w:hint="eastAsia"/>
        </w:rPr>
        <w:t>则城镇老旧小区改造所需总投资额在上述情况下分别约为</w:t>
      </w:r>
      <w:r w:rsidR="00B07B2D">
        <w:rPr>
          <w:rFonts w:hint="eastAsia"/>
        </w:rPr>
        <w:t>7.4</w:t>
      </w:r>
      <w:r w:rsidR="00506E63">
        <w:rPr>
          <w:rFonts w:hint="eastAsia"/>
        </w:rPr>
        <w:t>、</w:t>
      </w:r>
      <w:r w:rsidR="00B07B2D">
        <w:rPr>
          <w:rFonts w:hint="eastAsia"/>
        </w:rPr>
        <w:t>7.1</w:t>
      </w:r>
      <w:r w:rsidR="00506E63">
        <w:rPr>
          <w:rFonts w:hint="eastAsia"/>
        </w:rPr>
        <w:t>和</w:t>
      </w:r>
      <w:r w:rsidR="00B07B2D">
        <w:rPr>
          <w:rFonts w:hint="eastAsia"/>
        </w:rPr>
        <w:t>6.8</w:t>
      </w:r>
      <w:proofErr w:type="gramStart"/>
      <w:r w:rsidR="004B5379">
        <w:rPr>
          <w:rFonts w:hint="eastAsia"/>
        </w:rPr>
        <w:t>万</w:t>
      </w:r>
      <w:r w:rsidR="00506E63">
        <w:rPr>
          <w:rFonts w:hint="eastAsia"/>
        </w:rPr>
        <w:t>亿</w:t>
      </w:r>
      <w:proofErr w:type="gramEnd"/>
      <w:r w:rsidR="00506E63">
        <w:rPr>
          <w:rFonts w:hint="eastAsia"/>
        </w:rPr>
        <w:t>元。</w:t>
      </w:r>
    </w:p>
    <w:p w14:paraId="46B95FA3" w14:textId="4291A272" w:rsidR="003A5EC0" w:rsidRPr="00F56173" w:rsidRDefault="003A5EC0" w:rsidP="003A5EC0">
      <w:pPr>
        <w:pStyle w:val="ad"/>
        <w:rPr>
          <w:sz w:val="21"/>
          <w:szCs w:val="21"/>
        </w:rPr>
      </w:pPr>
      <w:r w:rsidRPr="00F56173">
        <w:rPr>
          <w:rFonts w:hint="eastAsia"/>
          <w:sz w:val="21"/>
          <w:szCs w:val="21"/>
        </w:rPr>
        <w:t>表</w:t>
      </w:r>
      <w:r w:rsidRPr="00F56173">
        <w:rPr>
          <w:rFonts w:hint="eastAsia"/>
          <w:sz w:val="21"/>
          <w:szCs w:val="21"/>
        </w:rPr>
        <w:t xml:space="preserve"> </w:t>
      </w:r>
      <w:r w:rsidRPr="00F56173">
        <w:rPr>
          <w:sz w:val="21"/>
          <w:szCs w:val="21"/>
        </w:rPr>
        <w:fldChar w:fldCharType="begin"/>
      </w:r>
      <w:r w:rsidRPr="00F56173">
        <w:rPr>
          <w:sz w:val="21"/>
          <w:szCs w:val="21"/>
        </w:rPr>
        <w:instrText xml:space="preserve"> </w:instrText>
      </w:r>
      <w:r w:rsidRPr="00F56173">
        <w:rPr>
          <w:rFonts w:hint="eastAsia"/>
          <w:sz w:val="21"/>
          <w:szCs w:val="21"/>
        </w:rPr>
        <w:instrText xml:space="preserve">SEQ </w:instrText>
      </w:r>
      <w:r w:rsidRPr="00F56173">
        <w:rPr>
          <w:rFonts w:hint="eastAsia"/>
          <w:sz w:val="21"/>
          <w:szCs w:val="21"/>
        </w:rPr>
        <w:instrText>表</w:instrText>
      </w:r>
      <w:r w:rsidRPr="00F56173">
        <w:rPr>
          <w:rFonts w:hint="eastAsia"/>
          <w:sz w:val="21"/>
          <w:szCs w:val="21"/>
        </w:rPr>
        <w:instrText xml:space="preserve"> \* ARABIC</w:instrText>
      </w:r>
      <w:r w:rsidRPr="00F56173">
        <w:rPr>
          <w:sz w:val="21"/>
          <w:szCs w:val="21"/>
        </w:rPr>
        <w:instrText xml:space="preserve"> </w:instrText>
      </w:r>
      <w:r w:rsidRPr="00F56173">
        <w:rPr>
          <w:sz w:val="21"/>
          <w:szCs w:val="21"/>
        </w:rPr>
        <w:fldChar w:fldCharType="separate"/>
      </w:r>
      <w:r w:rsidR="00DB5785" w:rsidRPr="00F56173">
        <w:rPr>
          <w:noProof/>
          <w:sz w:val="21"/>
          <w:szCs w:val="21"/>
        </w:rPr>
        <w:t>2</w:t>
      </w:r>
      <w:r w:rsidRPr="00F56173">
        <w:rPr>
          <w:sz w:val="21"/>
          <w:szCs w:val="21"/>
        </w:rPr>
        <w:fldChar w:fldCharType="end"/>
      </w:r>
      <w:r w:rsidRPr="00F56173">
        <w:rPr>
          <w:rFonts w:hint="eastAsia"/>
          <w:sz w:val="21"/>
          <w:szCs w:val="21"/>
        </w:rPr>
        <w:t>：</w:t>
      </w:r>
      <w:r w:rsidR="007166FE" w:rsidRPr="00F56173">
        <w:rPr>
          <w:rFonts w:hint="eastAsia"/>
          <w:sz w:val="21"/>
          <w:szCs w:val="21"/>
        </w:rPr>
        <w:t>测算</w:t>
      </w:r>
      <w:r w:rsidRPr="00F56173">
        <w:rPr>
          <w:rFonts w:hint="eastAsia"/>
          <w:sz w:val="21"/>
          <w:szCs w:val="21"/>
        </w:rPr>
        <w:t>2019</w:t>
      </w:r>
      <w:r w:rsidRPr="00F56173">
        <w:rPr>
          <w:rFonts w:hint="eastAsia"/>
          <w:sz w:val="21"/>
          <w:szCs w:val="21"/>
        </w:rPr>
        <w:t>年末，</w:t>
      </w:r>
      <w:r w:rsidR="003737CE" w:rsidRPr="00F56173">
        <w:rPr>
          <w:rFonts w:hint="eastAsia"/>
          <w:sz w:val="21"/>
          <w:szCs w:val="21"/>
        </w:rPr>
        <w:t>老旧小区改造</w:t>
      </w:r>
      <w:r w:rsidR="00960D0B" w:rsidRPr="00F56173">
        <w:rPr>
          <w:rFonts w:hint="eastAsia"/>
          <w:sz w:val="21"/>
          <w:szCs w:val="21"/>
        </w:rPr>
        <w:t>未来所需</w:t>
      </w:r>
      <w:r w:rsidR="003737CE" w:rsidRPr="00F56173">
        <w:rPr>
          <w:rFonts w:hint="eastAsia"/>
          <w:sz w:val="21"/>
          <w:szCs w:val="21"/>
        </w:rPr>
        <w:t>总投资额</w:t>
      </w:r>
      <w:r w:rsidRPr="00F56173">
        <w:rPr>
          <w:rFonts w:hint="eastAsia"/>
          <w:sz w:val="21"/>
          <w:szCs w:val="21"/>
        </w:rPr>
        <w:t>大于</w:t>
      </w:r>
      <w:r w:rsidR="00B07B2D" w:rsidRPr="00F56173">
        <w:rPr>
          <w:rFonts w:hint="eastAsia"/>
          <w:sz w:val="21"/>
          <w:szCs w:val="21"/>
        </w:rPr>
        <w:t>6</w:t>
      </w:r>
      <w:proofErr w:type="gramStart"/>
      <w:r w:rsidR="004B5379" w:rsidRPr="00F56173">
        <w:rPr>
          <w:rFonts w:hint="eastAsia"/>
          <w:sz w:val="21"/>
          <w:szCs w:val="21"/>
        </w:rPr>
        <w:t>万</w:t>
      </w:r>
      <w:r w:rsidR="003737CE" w:rsidRPr="00F56173">
        <w:rPr>
          <w:rFonts w:hint="eastAsia"/>
          <w:sz w:val="21"/>
          <w:szCs w:val="21"/>
        </w:rPr>
        <w:t>亿</w:t>
      </w:r>
      <w:proofErr w:type="gramEnd"/>
      <w:r w:rsidR="003737CE" w:rsidRPr="00F56173">
        <w:rPr>
          <w:rFonts w:hint="eastAsia"/>
          <w:sz w:val="21"/>
          <w:szCs w:val="21"/>
        </w:rPr>
        <w:t>元</w:t>
      </w:r>
      <w:r w:rsidR="003737CE" w:rsidRPr="00F56173">
        <w:rPr>
          <w:sz w:val="21"/>
          <w:szCs w:val="21"/>
        </w:rPr>
        <w:t xml:space="preserve"> </w:t>
      </w:r>
    </w:p>
    <w:tbl>
      <w:tblPr>
        <w:tblW w:w="9072" w:type="dxa"/>
        <w:tblLook w:val="04A0" w:firstRow="1" w:lastRow="0" w:firstColumn="1" w:lastColumn="0" w:noHBand="0" w:noVBand="1"/>
      </w:tblPr>
      <w:tblGrid>
        <w:gridCol w:w="1011"/>
        <w:gridCol w:w="2410"/>
        <w:gridCol w:w="2099"/>
        <w:gridCol w:w="1480"/>
        <w:gridCol w:w="2072"/>
      </w:tblGrid>
      <w:tr w:rsidR="00AF4F42" w:rsidRPr="00AF4F42" w14:paraId="580B7D52" w14:textId="77777777" w:rsidTr="00680203">
        <w:trPr>
          <w:trHeight w:val="20"/>
        </w:trPr>
        <w:tc>
          <w:tcPr>
            <w:tcW w:w="993" w:type="dxa"/>
            <w:vMerge w:val="restart"/>
            <w:tcBorders>
              <w:top w:val="single" w:sz="4" w:space="0" w:color="auto"/>
              <w:left w:val="nil"/>
              <w:bottom w:val="single" w:sz="4" w:space="0" w:color="000000"/>
              <w:right w:val="nil"/>
            </w:tcBorders>
            <w:shd w:val="clear" w:color="000000" w:fill="EDEDED"/>
            <w:noWrap/>
            <w:vAlign w:val="center"/>
            <w:hideMark/>
          </w:tcPr>
          <w:p w14:paraId="45B9F49C" w14:textId="77777777" w:rsidR="00AF4F42" w:rsidRPr="00AF4F42" w:rsidRDefault="00AF4F42" w:rsidP="00AF4F42">
            <w:pPr>
              <w:spacing w:after="0" w:line="240" w:lineRule="auto"/>
              <w:ind w:right="0"/>
              <w:jc w:val="center"/>
              <w:rPr>
                <w:rFonts w:ascii="楷体" w:hAnsi="楷体" w:cs="宋体"/>
                <w:color w:val="000000"/>
                <w:szCs w:val="21"/>
              </w:rPr>
            </w:pPr>
            <w:r w:rsidRPr="00AF4F42">
              <w:rPr>
                <w:rFonts w:ascii="楷体" w:hAnsi="楷体" w:cs="宋体" w:hint="eastAsia"/>
                <w:color w:val="000000"/>
                <w:szCs w:val="21"/>
              </w:rPr>
              <w:t>折旧率</w:t>
            </w:r>
          </w:p>
        </w:tc>
        <w:tc>
          <w:tcPr>
            <w:tcW w:w="4425" w:type="dxa"/>
            <w:gridSpan w:val="2"/>
            <w:tcBorders>
              <w:top w:val="single" w:sz="4" w:space="0" w:color="auto"/>
              <w:left w:val="nil"/>
              <w:bottom w:val="single" w:sz="4" w:space="0" w:color="auto"/>
              <w:right w:val="single" w:sz="4" w:space="0" w:color="000000"/>
            </w:tcBorders>
            <w:shd w:val="clear" w:color="000000" w:fill="EDEDED"/>
            <w:noWrap/>
            <w:vAlign w:val="center"/>
            <w:hideMark/>
          </w:tcPr>
          <w:p w14:paraId="09E9DEE4" w14:textId="77777777" w:rsidR="00AF4F42" w:rsidRPr="00AF4F42" w:rsidRDefault="00AF4F42" w:rsidP="00AF4F42">
            <w:pPr>
              <w:spacing w:after="0" w:line="240" w:lineRule="auto"/>
              <w:ind w:right="0"/>
              <w:jc w:val="center"/>
              <w:rPr>
                <w:rFonts w:cs="Times New Roman"/>
                <w:color w:val="000000"/>
                <w:szCs w:val="21"/>
              </w:rPr>
            </w:pPr>
            <w:r w:rsidRPr="00AF4F42">
              <w:rPr>
                <w:rFonts w:cs="Times New Roman"/>
                <w:color w:val="000000"/>
                <w:szCs w:val="21"/>
              </w:rPr>
              <w:t>2000</w:t>
            </w:r>
            <w:r w:rsidRPr="00AF4F42">
              <w:rPr>
                <w:rFonts w:ascii="楷体" w:hAnsi="楷体" w:cs="Times New Roman" w:hint="eastAsia"/>
                <w:color w:val="000000"/>
                <w:szCs w:val="21"/>
              </w:rPr>
              <w:t>年前建成城镇住房建筑面积</w:t>
            </w:r>
          </w:p>
        </w:tc>
        <w:tc>
          <w:tcPr>
            <w:tcW w:w="1452" w:type="dxa"/>
            <w:tcBorders>
              <w:top w:val="single" w:sz="4" w:space="0" w:color="auto"/>
              <w:left w:val="nil"/>
              <w:bottom w:val="single" w:sz="4" w:space="0" w:color="auto"/>
              <w:right w:val="nil"/>
            </w:tcBorders>
            <w:shd w:val="clear" w:color="000000" w:fill="EDEDED"/>
            <w:noWrap/>
            <w:vAlign w:val="center"/>
            <w:hideMark/>
          </w:tcPr>
          <w:p w14:paraId="6C18789D" w14:textId="77777777" w:rsidR="00AF4F42" w:rsidRPr="00AF4F42" w:rsidRDefault="00AF4F42" w:rsidP="00AF4F42">
            <w:pPr>
              <w:spacing w:after="0" w:line="240" w:lineRule="auto"/>
              <w:ind w:right="0"/>
              <w:jc w:val="center"/>
              <w:rPr>
                <w:rFonts w:ascii="楷体" w:hAnsi="楷体" w:cs="宋体"/>
                <w:sz w:val="20"/>
                <w:szCs w:val="20"/>
              </w:rPr>
            </w:pPr>
            <w:r w:rsidRPr="00AF4F42">
              <w:rPr>
                <w:rFonts w:ascii="楷体" w:hAnsi="楷体" w:cs="宋体" w:hint="eastAsia"/>
                <w:sz w:val="20"/>
                <w:szCs w:val="20"/>
              </w:rPr>
              <w:t>需改造老旧小区建筑面积</w:t>
            </w:r>
          </w:p>
        </w:tc>
        <w:tc>
          <w:tcPr>
            <w:tcW w:w="2033" w:type="dxa"/>
            <w:tcBorders>
              <w:top w:val="single" w:sz="4" w:space="0" w:color="auto"/>
              <w:left w:val="single" w:sz="4" w:space="0" w:color="auto"/>
              <w:bottom w:val="single" w:sz="4" w:space="0" w:color="auto"/>
              <w:right w:val="nil"/>
            </w:tcBorders>
            <w:shd w:val="clear" w:color="000000" w:fill="EDEDED"/>
            <w:noWrap/>
            <w:vAlign w:val="center"/>
            <w:hideMark/>
          </w:tcPr>
          <w:p w14:paraId="01D80A30" w14:textId="76697B59" w:rsidR="00AF4F42" w:rsidRPr="00AF4F42" w:rsidRDefault="00AF4F42" w:rsidP="00AF4F42">
            <w:pPr>
              <w:spacing w:after="0" w:line="240" w:lineRule="auto"/>
              <w:ind w:right="0"/>
              <w:jc w:val="center"/>
              <w:rPr>
                <w:rFonts w:cs="Times New Roman"/>
                <w:sz w:val="20"/>
                <w:szCs w:val="20"/>
              </w:rPr>
            </w:pPr>
            <w:r w:rsidRPr="00AF4F42">
              <w:rPr>
                <w:rFonts w:cs="Times New Roman"/>
                <w:sz w:val="20"/>
                <w:szCs w:val="20"/>
              </w:rPr>
              <w:t>2019</w:t>
            </w:r>
            <w:r w:rsidRPr="00AF4F42">
              <w:rPr>
                <w:rFonts w:ascii="楷体" w:hAnsi="楷体" w:cs="Times New Roman" w:hint="eastAsia"/>
                <w:sz w:val="20"/>
                <w:szCs w:val="20"/>
              </w:rPr>
              <w:t>年末存量老旧小区改造</w:t>
            </w:r>
            <w:r w:rsidR="00680203">
              <w:rPr>
                <w:rFonts w:ascii="楷体" w:hAnsi="楷体" w:cs="Times New Roman" w:hint="eastAsia"/>
                <w:sz w:val="20"/>
                <w:szCs w:val="20"/>
              </w:rPr>
              <w:t>所需</w:t>
            </w:r>
            <w:r w:rsidRPr="00AF4F42">
              <w:rPr>
                <w:rFonts w:ascii="楷体" w:hAnsi="楷体" w:cs="Times New Roman" w:hint="eastAsia"/>
                <w:sz w:val="20"/>
                <w:szCs w:val="20"/>
              </w:rPr>
              <w:t>总投资额</w:t>
            </w:r>
          </w:p>
        </w:tc>
      </w:tr>
      <w:tr w:rsidR="00114492" w:rsidRPr="00AF4F42" w14:paraId="1AA5879C" w14:textId="77777777" w:rsidTr="00680203">
        <w:trPr>
          <w:trHeight w:val="20"/>
        </w:trPr>
        <w:tc>
          <w:tcPr>
            <w:tcW w:w="993" w:type="dxa"/>
            <w:vMerge/>
            <w:tcBorders>
              <w:top w:val="single" w:sz="4" w:space="0" w:color="auto"/>
              <w:left w:val="nil"/>
              <w:bottom w:val="single" w:sz="4" w:space="0" w:color="000000"/>
              <w:right w:val="nil"/>
            </w:tcBorders>
            <w:vAlign w:val="center"/>
            <w:hideMark/>
          </w:tcPr>
          <w:p w14:paraId="4BD3A13C" w14:textId="77777777" w:rsidR="00AF4F42" w:rsidRPr="00AF4F42" w:rsidRDefault="00AF4F42" w:rsidP="00AF4F42">
            <w:pPr>
              <w:spacing w:after="0" w:line="240" w:lineRule="auto"/>
              <w:ind w:right="0"/>
              <w:jc w:val="center"/>
              <w:rPr>
                <w:rFonts w:ascii="楷体" w:hAnsi="楷体" w:cs="宋体"/>
                <w:color w:val="000000"/>
                <w:szCs w:val="21"/>
              </w:rPr>
            </w:pPr>
          </w:p>
        </w:tc>
        <w:tc>
          <w:tcPr>
            <w:tcW w:w="2365" w:type="dxa"/>
            <w:tcBorders>
              <w:top w:val="nil"/>
              <w:left w:val="nil"/>
              <w:bottom w:val="single" w:sz="4" w:space="0" w:color="auto"/>
              <w:right w:val="nil"/>
            </w:tcBorders>
            <w:shd w:val="clear" w:color="000000" w:fill="EDEDED"/>
            <w:noWrap/>
            <w:vAlign w:val="center"/>
            <w:hideMark/>
          </w:tcPr>
          <w:p w14:paraId="10DD619A" w14:textId="77777777" w:rsidR="00AF4F42" w:rsidRPr="00AF4F42" w:rsidRDefault="00AF4F42" w:rsidP="00AF4F42">
            <w:pPr>
              <w:spacing w:after="0" w:line="240" w:lineRule="auto"/>
              <w:ind w:right="0"/>
              <w:jc w:val="center"/>
              <w:rPr>
                <w:rFonts w:cs="Times New Roman"/>
                <w:color w:val="000000"/>
                <w:szCs w:val="21"/>
              </w:rPr>
            </w:pPr>
            <w:r w:rsidRPr="00AF4F42">
              <w:rPr>
                <w:rFonts w:cs="Times New Roman"/>
                <w:color w:val="000000"/>
                <w:szCs w:val="21"/>
              </w:rPr>
              <w:t>2010</w:t>
            </w:r>
            <w:r w:rsidRPr="00AF4F42">
              <w:rPr>
                <w:rFonts w:ascii="楷体" w:hAnsi="楷体" w:cs="Times New Roman" w:hint="eastAsia"/>
                <w:color w:val="000000"/>
                <w:szCs w:val="21"/>
              </w:rPr>
              <w:t>年末（亿平）</w:t>
            </w:r>
          </w:p>
        </w:tc>
        <w:tc>
          <w:tcPr>
            <w:tcW w:w="2060" w:type="dxa"/>
            <w:tcBorders>
              <w:top w:val="nil"/>
              <w:left w:val="nil"/>
              <w:bottom w:val="single" w:sz="4" w:space="0" w:color="auto"/>
              <w:right w:val="single" w:sz="4" w:space="0" w:color="auto"/>
            </w:tcBorders>
            <w:shd w:val="clear" w:color="000000" w:fill="EDEDED"/>
            <w:noWrap/>
            <w:vAlign w:val="center"/>
            <w:hideMark/>
          </w:tcPr>
          <w:p w14:paraId="17F60C84" w14:textId="77777777" w:rsidR="00AF4F42" w:rsidRPr="00AF4F42" w:rsidRDefault="00AF4F42" w:rsidP="00AF4F42">
            <w:pPr>
              <w:spacing w:after="0" w:line="240" w:lineRule="auto"/>
              <w:ind w:right="0"/>
              <w:jc w:val="center"/>
              <w:rPr>
                <w:rFonts w:cs="Times New Roman"/>
                <w:color w:val="000000"/>
                <w:szCs w:val="21"/>
              </w:rPr>
            </w:pPr>
            <w:r w:rsidRPr="00AF4F42">
              <w:rPr>
                <w:rFonts w:cs="Times New Roman"/>
                <w:color w:val="000000"/>
                <w:szCs w:val="21"/>
              </w:rPr>
              <w:t>2019</w:t>
            </w:r>
            <w:r w:rsidRPr="00AF4F42">
              <w:rPr>
                <w:rFonts w:ascii="楷体" w:hAnsi="楷体" w:cs="Times New Roman" w:hint="eastAsia"/>
                <w:color w:val="000000"/>
                <w:szCs w:val="21"/>
              </w:rPr>
              <w:t>年末（亿平）</w:t>
            </w:r>
          </w:p>
        </w:tc>
        <w:tc>
          <w:tcPr>
            <w:tcW w:w="1452" w:type="dxa"/>
            <w:tcBorders>
              <w:top w:val="nil"/>
              <w:left w:val="nil"/>
              <w:bottom w:val="single" w:sz="4" w:space="0" w:color="auto"/>
              <w:right w:val="nil"/>
            </w:tcBorders>
            <w:shd w:val="clear" w:color="000000" w:fill="EDEDED"/>
            <w:noWrap/>
            <w:vAlign w:val="center"/>
            <w:hideMark/>
          </w:tcPr>
          <w:p w14:paraId="554AE6F0" w14:textId="77777777" w:rsidR="00AF4F42" w:rsidRPr="00AF4F42" w:rsidRDefault="00AF4F42" w:rsidP="00AF4F42">
            <w:pPr>
              <w:spacing w:after="0" w:line="240" w:lineRule="auto"/>
              <w:ind w:right="0"/>
              <w:jc w:val="center"/>
              <w:rPr>
                <w:rFonts w:ascii="楷体" w:hAnsi="楷体" w:cs="宋体"/>
                <w:sz w:val="20"/>
                <w:szCs w:val="20"/>
              </w:rPr>
            </w:pPr>
            <w:r w:rsidRPr="00AF4F42">
              <w:rPr>
                <w:rFonts w:ascii="楷体" w:hAnsi="楷体" w:cs="宋体" w:hint="eastAsia"/>
                <w:sz w:val="20"/>
                <w:szCs w:val="20"/>
              </w:rPr>
              <w:t>（亿平）</w:t>
            </w:r>
          </w:p>
        </w:tc>
        <w:tc>
          <w:tcPr>
            <w:tcW w:w="2033" w:type="dxa"/>
            <w:tcBorders>
              <w:top w:val="nil"/>
              <w:left w:val="single" w:sz="4" w:space="0" w:color="auto"/>
              <w:bottom w:val="single" w:sz="4" w:space="0" w:color="auto"/>
              <w:right w:val="nil"/>
            </w:tcBorders>
            <w:shd w:val="clear" w:color="000000" w:fill="EDEDED"/>
            <w:noWrap/>
            <w:vAlign w:val="center"/>
            <w:hideMark/>
          </w:tcPr>
          <w:p w14:paraId="358A6DDD" w14:textId="6D0C64F2" w:rsidR="00AF4F42" w:rsidRPr="00AF4F42" w:rsidRDefault="00AF4F42" w:rsidP="00AF4F42">
            <w:pPr>
              <w:spacing w:after="0" w:line="240" w:lineRule="auto"/>
              <w:ind w:right="0"/>
              <w:jc w:val="center"/>
              <w:rPr>
                <w:rFonts w:cs="Times New Roman"/>
                <w:sz w:val="20"/>
                <w:szCs w:val="20"/>
              </w:rPr>
            </w:pPr>
            <w:r w:rsidRPr="00AF4F42">
              <w:rPr>
                <w:rFonts w:ascii="楷体" w:hAnsi="楷体" w:cs="Times New Roman" w:hint="eastAsia"/>
                <w:sz w:val="20"/>
                <w:szCs w:val="20"/>
              </w:rPr>
              <w:t>（</w:t>
            </w:r>
            <w:r w:rsidR="00AD1303">
              <w:rPr>
                <w:rFonts w:ascii="楷体" w:hAnsi="楷体" w:cs="Times New Roman" w:hint="eastAsia"/>
                <w:sz w:val="20"/>
                <w:szCs w:val="20"/>
              </w:rPr>
              <w:t>万</w:t>
            </w:r>
            <w:r w:rsidRPr="00AF4F42">
              <w:rPr>
                <w:rFonts w:ascii="楷体" w:hAnsi="楷体" w:cs="Times New Roman" w:hint="eastAsia"/>
                <w:sz w:val="20"/>
                <w:szCs w:val="20"/>
              </w:rPr>
              <w:t>亿元）</w:t>
            </w:r>
          </w:p>
        </w:tc>
      </w:tr>
      <w:tr w:rsidR="00B07B2D" w:rsidRPr="00B07B2D" w14:paraId="446745A3" w14:textId="77777777" w:rsidTr="00680203">
        <w:trPr>
          <w:trHeight w:val="20"/>
        </w:trPr>
        <w:tc>
          <w:tcPr>
            <w:tcW w:w="993" w:type="dxa"/>
            <w:tcBorders>
              <w:top w:val="nil"/>
              <w:left w:val="nil"/>
              <w:bottom w:val="nil"/>
              <w:right w:val="nil"/>
            </w:tcBorders>
            <w:shd w:val="clear" w:color="auto" w:fill="auto"/>
            <w:noWrap/>
            <w:vAlign w:val="center"/>
            <w:hideMark/>
          </w:tcPr>
          <w:p w14:paraId="6D3D4D7D" w14:textId="77777777" w:rsidR="00B07B2D" w:rsidRPr="00B07B2D" w:rsidRDefault="00B07B2D" w:rsidP="00B07B2D">
            <w:pPr>
              <w:spacing w:after="0" w:line="240" w:lineRule="auto"/>
              <w:ind w:right="0"/>
              <w:jc w:val="center"/>
              <w:rPr>
                <w:rFonts w:cs="Times New Roman"/>
                <w:color w:val="000000"/>
                <w:szCs w:val="21"/>
              </w:rPr>
            </w:pPr>
            <w:r w:rsidRPr="00B07B2D">
              <w:rPr>
                <w:rFonts w:cs="Times New Roman"/>
                <w:color w:val="000000"/>
                <w:szCs w:val="21"/>
              </w:rPr>
              <w:t>2.0%</w:t>
            </w:r>
          </w:p>
        </w:tc>
        <w:tc>
          <w:tcPr>
            <w:tcW w:w="2365" w:type="dxa"/>
            <w:tcBorders>
              <w:top w:val="nil"/>
              <w:left w:val="nil"/>
              <w:bottom w:val="nil"/>
              <w:right w:val="nil"/>
            </w:tcBorders>
            <w:shd w:val="clear" w:color="auto" w:fill="auto"/>
            <w:noWrap/>
            <w:vAlign w:val="center"/>
            <w:hideMark/>
          </w:tcPr>
          <w:p w14:paraId="63D2A853" w14:textId="77777777" w:rsidR="00B07B2D" w:rsidRPr="00B07B2D" w:rsidRDefault="00B07B2D" w:rsidP="00B07B2D">
            <w:pPr>
              <w:spacing w:after="0" w:line="240" w:lineRule="auto"/>
              <w:ind w:right="0"/>
              <w:jc w:val="center"/>
              <w:rPr>
                <w:rFonts w:cs="Times New Roman"/>
                <w:color w:val="000000"/>
                <w:szCs w:val="21"/>
              </w:rPr>
            </w:pPr>
            <w:r w:rsidRPr="00B07B2D">
              <w:rPr>
                <w:rFonts w:cs="Times New Roman"/>
                <w:color w:val="000000"/>
                <w:szCs w:val="21"/>
              </w:rPr>
              <w:t xml:space="preserve">118.8 </w:t>
            </w:r>
          </w:p>
        </w:tc>
        <w:tc>
          <w:tcPr>
            <w:tcW w:w="2060" w:type="dxa"/>
            <w:tcBorders>
              <w:top w:val="nil"/>
              <w:left w:val="nil"/>
              <w:bottom w:val="nil"/>
              <w:right w:val="single" w:sz="4" w:space="0" w:color="auto"/>
            </w:tcBorders>
            <w:shd w:val="clear" w:color="auto" w:fill="auto"/>
            <w:noWrap/>
            <w:vAlign w:val="center"/>
            <w:hideMark/>
          </w:tcPr>
          <w:p w14:paraId="239051FE" w14:textId="77777777" w:rsidR="00B07B2D" w:rsidRPr="00B07B2D" w:rsidRDefault="00B07B2D" w:rsidP="00B07B2D">
            <w:pPr>
              <w:spacing w:after="0" w:line="240" w:lineRule="auto"/>
              <w:ind w:right="0"/>
              <w:jc w:val="center"/>
              <w:rPr>
                <w:rFonts w:cs="Times New Roman"/>
                <w:color w:val="000000"/>
                <w:szCs w:val="21"/>
              </w:rPr>
            </w:pPr>
            <w:r w:rsidRPr="00B07B2D">
              <w:rPr>
                <w:rFonts w:cs="Times New Roman"/>
                <w:color w:val="000000"/>
                <w:szCs w:val="21"/>
              </w:rPr>
              <w:t xml:space="preserve">99.0 </w:t>
            </w:r>
          </w:p>
        </w:tc>
        <w:tc>
          <w:tcPr>
            <w:tcW w:w="1452" w:type="dxa"/>
            <w:tcBorders>
              <w:top w:val="nil"/>
              <w:left w:val="nil"/>
              <w:bottom w:val="nil"/>
              <w:right w:val="single" w:sz="4" w:space="0" w:color="auto"/>
            </w:tcBorders>
            <w:shd w:val="clear" w:color="auto" w:fill="auto"/>
            <w:noWrap/>
            <w:vAlign w:val="center"/>
            <w:hideMark/>
          </w:tcPr>
          <w:p w14:paraId="72A64EF1" w14:textId="77777777" w:rsidR="00B07B2D" w:rsidRPr="00B07B2D" w:rsidRDefault="00B07B2D" w:rsidP="00B07B2D">
            <w:pPr>
              <w:spacing w:after="0" w:line="240" w:lineRule="auto"/>
              <w:ind w:right="0"/>
              <w:jc w:val="center"/>
              <w:rPr>
                <w:rFonts w:cs="Times New Roman"/>
                <w:sz w:val="20"/>
                <w:szCs w:val="20"/>
              </w:rPr>
            </w:pPr>
            <w:r w:rsidRPr="00B07B2D">
              <w:rPr>
                <w:rFonts w:cs="Times New Roman"/>
                <w:sz w:val="20"/>
                <w:szCs w:val="20"/>
              </w:rPr>
              <w:t xml:space="preserve">59.4 </w:t>
            </w:r>
          </w:p>
        </w:tc>
        <w:tc>
          <w:tcPr>
            <w:tcW w:w="2033" w:type="dxa"/>
            <w:tcBorders>
              <w:top w:val="nil"/>
              <w:left w:val="single" w:sz="4" w:space="0" w:color="auto"/>
              <w:bottom w:val="nil"/>
              <w:right w:val="nil"/>
            </w:tcBorders>
            <w:shd w:val="clear" w:color="auto" w:fill="auto"/>
            <w:noWrap/>
            <w:vAlign w:val="center"/>
            <w:hideMark/>
          </w:tcPr>
          <w:p w14:paraId="712F734D" w14:textId="77777777" w:rsidR="00B07B2D" w:rsidRPr="00B07B2D" w:rsidRDefault="00B07B2D" w:rsidP="00B07B2D">
            <w:pPr>
              <w:spacing w:after="0" w:line="240" w:lineRule="auto"/>
              <w:ind w:right="0"/>
              <w:jc w:val="center"/>
              <w:rPr>
                <w:rFonts w:cs="Times New Roman"/>
                <w:sz w:val="20"/>
                <w:szCs w:val="20"/>
              </w:rPr>
            </w:pPr>
            <w:r w:rsidRPr="00B07B2D">
              <w:rPr>
                <w:rFonts w:cs="Times New Roman"/>
                <w:sz w:val="20"/>
                <w:szCs w:val="20"/>
              </w:rPr>
              <w:t xml:space="preserve">7.4 </w:t>
            </w:r>
          </w:p>
        </w:tc>
      </w:tr>
      <w:tr w:rsidR="00B07B2D" w:rsidRPr="00B07B2D" w14:paraId="00709AA8" w14:textId="77777777" w:rsidTr="00680203">
        <w:trPr>
          <w:trHeight w:val="20"/>
        </w:trPr>
        <w:tc>
          <w:tcPr>
            <w:tcW w:w="993" w:type="dxa"/>
            <w:tcBorders>
              <w:top w:val="nil"/>
              <w:left w:val="nil"/>
              <w:bottom w:val="nil"/>
              <w:right w:val="nil"/>
            </w:tcBorders>
            <w:shd w:val="clear" w:color="auto" w:fill="auto"/>
            <w:noWrap/>
            <w:vAlign w:val="center"/>
            <w:hideMark/>
          </w:tcPr>
          <w:p w14:paraId="48E75103" w14:textId="77777777" w:rsidR="00B07B2D" w:rsidRPr="00B07B2D" w:rsidRDefault="00B07B2D" w:rsidP="00B07B2D">
            <w:pPr>
              <w:spacing w:after="0" w:line="240" w:lineRule="auto"/>
              <w:ind w:right="0"/>
              <w:jc w:val="center"/>
              <w:rPr>
                <w:rFonts w:cs="Times New Roman"/>
                <w:color w:val="000000"/>
                <w:szCs w:val="21"/>
              </w:rPr>
            </w:pPr>
            <w:r w:rsidRPr="00B07B2D">
              <w:rPr>
                <w:rFonts w:cs="Times New Roman"/>
                <w:color w:val="000000"/>
                <w:szCs w:val="21"/>
              </w:rPr>
              <w:t>2.5%</w:t>
            </w:r>
          </w:p>
        </w:tc>
        <w:tc>
          <w:tcPr>
            <w:tcW w:w="2365" w:type="dxa"/>
            <w:tcBorders>
              <w:top w:val="nil"/>
              <w:left w:val="nil"/>
              <w:bottom w:val="nil"/>
              <w:right w:val="nil"/>
            </w:tcBorders>
            <w:shd w:val="clear" w:color="auto" w:fill="auto"/>
            <w:noWrap/>
            <w:vAlign w:val="center"/>
            <w:hideMark/>
          </w:tcPr>
          <w:p w14:paraId="6D1BAEE9" w14:textId="77777777" w:rsidR="00B07B2D" w:rsidRPr="00B07B2D" w:rsidRDefault="00B07B2D" w:rsidP="00B07B2D">
            <w:pPr>
              <w:spacing w:after="0" w:line="240" w:lineRule="auto"/>
              <w:ind w:right="0"/>
              <w:jc w:val="center"/>
              <w:rPr>
                <w:rFonts w:cs="Times New Roman"/>
                <w:color w:val="000000"/>
                <w:szCs w:val="21"/>
              </w:rPr>
            </w:pPr>
            <w:r w:rsidRPr="00B07B2D">
              <w:rPr>
                <w:rFonts w:cs="Times New Roman"/>
                <w:color w:val="000000"/>
                <w:szCs w:val="21"/>
              </w:rPr>
              <w:t xml:space="preserve">118.8 </w:t>
            </w:r>
          </w:p>
        </w:tc>
        <w:tc>
          <w:tcPr>
            <w:tcW w:w="2060" w:type="dxa"/>
            <w:tcBorders>
              <w:top w:val="nil"/>
              <w:left w:val="nil"/>
              <w:bottom w:val="nil"/>
              <w:right w:val="single" w:sz="4" w:space="0" w:color="auto"/>
            </w:tcBorders>
            <w:shd w:val="clear" w:color="auto" w:fill="auto"/>
            <w:noWrap/>
            <w:vAlign w:val="center"/>
            <w:hideMark/>
          </w:tcPr>
          <w:p w14:paraId="5A122424" w14:textId="77777777" w:rsidR="00B07B2D" w:rsidRPr="00B07B2D" w:rsidRDefault="00B07B2D" w:rsidP="00B07B2D">
            <w:pPr>
              <w:spacing w:after="0" w:line="240" w:lineRule="auto"/>
              <w:ind w:right="0"/>
              <w:jc w:val="center"/>
              <w:rPr>
                <w:rFonts w:cs="Times New Roman"/>
                <w:color w:val="000000"/>
                <w:szCs w:val="21"/>
              </w:rPr>
            </w:pPr>
            <w:r w:rsidRPr="00B07B2D">
              <w:rPr>
                <w:rFonts w:cs="Times New Roman"/>
                <w:color w:val="000000"/>
                <w:szCs w:val="21"/>
              </w:rPr>
              <w:t xml:space="preserve">94.6 </w:t>
            </w:r>
          </w:p>
        </w:tc>
        <w:tc>
          <w:tcPr>
            <w:tcW w:w="1452" w:type="dxa"/>
            <w:tcBorders>
              <w:top w:val="nil"/>
              <w:left w:val="nil"/>
              <w:bottom w:val="nil"/>
              <w:right w:val="single" w:sz="4" w:space="0" w:color="auto"/>
            </w:tcBorders>
            <w:shd w:val="clear" w:color="auto" w:fill="auto"/>
            <w:noWrap/>
            <w:vAlign w:val="center"/>
            <w:hideMark/>
          </w:tcPr>
          <w:p w14:paraId="050170E4" w14:textId="77777777" w:rsidR="00B07B2D" w:rsidRPr="00B07B2D" w:rsidRDefault="00B07B2D" w:rsidP="00B07B2D">
            <w:pPr>
              <w:spacing w:after="0" w:line="240" w:lineRule="auto"/>
              <w:ind w:right="0"/>
              <w:jc w:val="center"/>
              <w:rPr>
                <w:rFonts w:cs="Times New Roman"/>
                <w:sz w:val="20"/>
                <w:szCs w:val="20"/>
              </w:rPr>
            </w:pPr>
            <w:r w:rsidRPr="00B07B2D">
              <w:rPr>
                <w:rFonts w:cs="Times New Roman"/>
                <w:sz w:val="20"/>
                <w:szCs w:val="20"/>
              </w:rPr>
              <w:t xml:space="preserve">56.7 </w:t>
            </w:r>
          </w:p>
        </w:tc>
        <w:tc>
          <w:tcPr>
            <w:tcW w:w="2033" w:type="dxa"/>
            <w:tcBorders>
              <w:top w:val="nil"/>
              <w:left w:val="single" w:sz="4" w:space="0" w:color="auto"/>
              <w:bottom w:val="nil"/>
              <w:right w:val="nil"/>
            </w:tcBorders>
            <w:shd w:val="clear" w:color="auto" w:fill="auto"/>
            <w:noWrap/>
            <w:vAlign w:val="center"/>
            <w:hideMark/>
          </w:tcPr>
          <w:p w14:paraId="23549F51" w14:textId="77777777" w:rsidR="00B07B2D" w:rsidRPr="00B07B2D" w:rsidRDefault="00B07B2D" w:rsidP="00B07B2D">
            <w:pPr>
              <w:spacing w:after="0" w:line="240" w:lineRule="auto"/>
              <w:ind w:right="0"/>
              <w:jc w:val="center"/>
              <w:rPr>
                <w:rFonts w:cs="Times New Roman"/>
                <w:sz w:val="20"/>
                <w:szCs w:val="20"/>
              </w:rPr>
            </w:pPr>
            <w:r w:rsidRPr="00B07B2D">
              <w:rPr>
                <w:rFonts w:cs="Times New Roman"/>
                <w:sz w:val="20"/>
                <w:szCs w:val="20"/>
              </w:rPr>
              <w:t xml:space="preserve">7.1 </w:t>
            </w:r>
          </w:p>
        </w:tc>
      </w:tr>
      <w:tr w:rsidR="00B07B2D" w:rsidRPr="00B07B2D" w14:paraId="792B3AAA" w14:textId="77777777" w:rsidTr="00680203">
        <w:trPr>
          <w:trHeight w:val="20"/>
        </w:trPr>
        <w:tc>
          <w:tcPr>
            <w:tcW w:w="993" w:type="dxa"/>
            <w:tcBorders>
              <w:top w:val="nil"/>
              <w:left w:val="nil"/>
              <w:bottom w:val="nil"/>
              <w:right w:val="nil"/>
            </w:tcBorders>
            <w:shd w:val="clear" w:color="auto" w:fill="auto"/>
            <w:noWrap/>
            <w:vAlign w:val="center"/>
            <w:hideMark/>
          </w:tcPr>
          <w:p w14:paraId="7AE9C34B" w14:textId="77777777" w:rsidR="00B07B2D" w:rsidRPr="00B07B2D" w:rsidRDefault="00B07B2D" w:rsidP="00B07B2D">
            <w:pPr>
              <w:spacing w:after="0" w:line="240" w:lineRule="auto"/>
              <w:ind w:right="0"/>
              <w:jc w:val="center"/>
              <w:rPr>
                <w:rFonts w:cs="Times New Roman"/>
                <w:color w:val="000000"/>
                <w:szCs w:val="21"/>
              </w:rPr>
            </w:pPr>
            <w:r w:rsidRPr="00B07B2D">
              <w:rPr>
                <w:rFonts w:cs="Times New Roman"/>
                <w:color w:val="000000"/>
                <w:szCs w:val="21"/>
              </w:rPr>
              <w:t>3.0%</w:t>
            </w:r>
          </w:p>
        </w:tc>
        <w:tc>
          <w:tcPr>
            <w:tcW w:w="2365" w:type="dxa"/>
            <w:tcBorders>
              <w:top w:val="nil"/>
              <w:left w:val="nil"/>
              <w:bottom w:val="nil"/>
              <w:right w:val="nil"/>
            </w:tcBorders>
            <w:shd w:val="clear" w:color="auto" w:fill="auto"/>
            <w:noWrap/>
            <w:vAlign w:val="center"/>
            <w:hideMark/>
          </w:tcPr>
          <w:p w14:paraId="74F61126" w14:textId="77777777" w:rsidR="00B07B2D" w:rsidRPr="00B07B2D" w:rsidRDefault="00B07B2D" w:rsidP="00B07B2D">
            <w:pPr>
              <w:spacing w:after="0" w:line="240" w:lineRule="auto"/>
              <w:ind w:right="0"/>
              <w:jc w:val="center"/>
              <w:rPr>
                <w:rFonts w:cs="Times New Roman"/>
                <w:color w:val="000000"/>
                <w:szCs w:val="21"/>
              </w:rPr>
            </w:pPr>
            <w:r w:rsidRPr="00B07B2D">
              <w:rPr>
                <w:rFonts w:cs="Times New Roman"/>
                <w:color w:val="000000"/>
                <w:szCs w:val="21"/>
              </w:rPr>
              <w:t xml:space="preserve">118.8 </w:t>
            </w:r>
          </w:p>
        </w:tc>
        <w:tc>
          <w:tcPr>
            <w:tcW w:w="2060" w:type="dxa"/>
            <w:tcBorders>
              <w:top w:val="nil"/>
              <w:left w:val="nil"/>
              <w:bottom w:val="nil"/>
              <w:right w:val="single" w:sz="4" w:space="0" w:color="auto"/>
            </w:tcBorders>
            <w:shd w:val="clear" w:color="auto" w:fill="auto"/>
            <w:noWrap/>
            <w:vAlign w:val="center"/>
            <w:hideMark/>
          </w:tcPr>
          <w:p w14:paraId="1EFCE2C1" w14:textId="77777777" w:rsidR="00B07B2D" w:rsidRPr="00B07B2D" w:rsidRDefault="00B07B2D" w:rsidP="00B07B2D">
            <w:pPr>
              <w:spacing w:after="0" w:line="240" w:lineRule="auto"/>
              <w:ind w:right="0"/>
              <w:jc w:val="center"/>
              <w:rPr>
                <w:rFonts w:cs="Times New Roman"/>
                <w:color w:val="000000"/>
                <w:szCs w:val="21"/>
              </w:rPr>
            </w:pPr>
            <w:r w:rsidRPr="00B07B2D">
              <w:rPr>
                <w:rFonts w:cs="Times New Roman"/>
                <w:color w:val="000000"/>
                <w:szCs w:val="21"/>
              </w:rPr>
              <w:t xml:space="preserve">90.3 </w:t>
            </w:r>
          </w:p>
        </w:tc>
        <w:tc>
          <w:tcPr>
            <w:tcW w:w="1452" w:type="dxa"/>
            <w:tcBorders>
              <w:top w:val="nil"/>
              <w:left w:val="nil"/>
              <w:bottom w:val="nil"/>
              <w:right w:val="single" w:sz="4" w:space="0" w:color="auto"/>
            </w:tcBorders>
            <w:shd w:val="clear" w:color="auto" w:fill="auto"/>
            <w:noWrap/>
            <w:vAlign w:val="center"/>
            <w:hideMark/>
          </w:tcPr>
          <w:p w14:paraId="6693DB01" w14:textId="77777777" w:rsidR="00B07B2D" w:rsidRPr="00B07B2D" w:rsidRDefault="00B07B2D" w:rsidP="00B07B2D">
            <w:pPr>
              <w:spacing w:after="0" w:line="240" w:lineRule="auto"/>
              <w:ind w:right="0"/>
              <w:jc w:val="center"/>
              <w:rPr>
                <w:rFonts w:cs="Times New Roman"/>
                <w:sz w:val="20"/>
                <w:szCs w:val="20"/>
              </w:rPr>
            </w:pPr>
            <w:r w:rsidRPr="00B07B2D">
              <w:rPr>
                <w:rFonts w:cs="Times New Roman"/>
                <w:sz w:val="20"/>
                <w:szCs w:val="20"/>
              </w:rPr>
              <w:t xml:space="preserve">54.2 </w:t>
            </w:r>
          </w:p>
        </w:tc>
        <w:tc>
          <w:tcPr>
            <w:tcW w:w="2033" w:type="dxa"/>
            <w:tcBorders>
              <w:top w:val="nil"/>
              <w:left w:val="single" w:sz="4" w:space="0" w:color="auto"/>
              <w:bottom w:val="nil"/>
              <w:right w:val="nil"/>
            </w:tcBorders>
            <w:shd w:val="clear" w:color="auto" w:fill="auto"/>
            <w:noWrap/>
            <w:vAlign w:val="center"/>
            <w:hideMark/>
          </w:tcPr>
          <w:p w14:paraId="5145ADD9" w14:textId="77777777" w:rsidR="00B07B2D" w:rsidRPr="00B07B2D" w:rsidRDefault="00B07B2D" w:rsidP="00B07B2D">
            <w:pPr>
              <w:spacing w:after="0" w:line="240" w:lineRule="auto"/>
              <w:ind w:right="0"/>
              <w:jc w:val="center"/>
              <w:rPr>
                <w:rFonts w:cs="Times New Roman"/>
                <w:sz w:val="20"/>
                <w:szCs w:val="20"/>
              </w:rPr>
            </w:pPr>
            <w:r w:rsidRPr="00B07B2D">
              <w:rPr>
                <w:rFonts w:cs="Times New Roman"/>
                <w:sz w:val="20"/>
                <w:szCs w:val="20"/>
              </w:rPr>
              <w:t xml:space="preserve">6.8 </w:t>
            </w:r>
          </w:p>
        </w:tc>
      </w:tr>
    </w:tbl>
    <w:p w14:paraId="63823D9D" w14:textId="3D873232" w:rsidR="00B80429" w:rsidRDefault="003A5EC0" w:rsidP="00955055">
      <w:pPr>
        <w:spacing w:before="100"/>
      </w:pPr>
      <w:r>
        <w:rPr>
          <w:rFonts w:cs="Times New Roman"/>
          <w:sz w:val="18"/>
        </w:rPr>
        <w:t>数据来源</w:t>
      </w:r>
      <w:r w:rsidRPr="00EF5C8A">
        <w:rPr>
          <w:rFonts w:cs="Times New Roman"/>
          <w:sz w:val="18"/>
        </w:rPr>
        <w:t>：</w:t>
      </w:r>
      <w:r>
        <w:rPr>
          <w:rFonts w:cs="Times New Roman" w:hint="eastAsia"/>
          <w:sz w:val="18"/>
        </w:rPr>
        <w:t>国家统计局，</w:t>
      </w:r>
      <w:r w:rsidRPr="00EF5C8A">
        <w:rPr>
          <w:rFonts w:cs="Times New Roman"/>
          <w:sz w:val="18"/>
        </w:rPr>
        <w:t>中</w:t>
      </w:r>
      <w:proofErr w:type="gramStart"/>
      <w:r w:rsidRPr="00EF5C8A">
        <w:rPr>
          <w:rFonts w:cs="Times New Roman"/>
          <w:sz w:val="18"/>
        </w:rPr>
        <w:t>达证券</w:t>
      </w:r>
      <w:proofErr w:type="gramEnd"/>
      <w:r w:rsidRPr="00EF5C8A">
        <w:rPr>
          <w:rFonts w:cs="Times New Roman"/>
          <w:sz w:val="18"/>
        </w:rPr>
        <w:t>研究</w:t>
      </w:r>
    </w:p>
    <w:p w14:paraId="73E5306A" w14:textId="1415D452" w:rsidR="003A5EC0" w:rsidRDefault="003A5EC0" w:rsidP="00064B73"/>
    <w:p w14:paraId="37941D0C" w14:textId="6AE4B9F7" w:rsidR="00A7333C" w:rsidRDefault="00A7333C" w:rsidP="00A7333C">
      <w:pPr>
        <w:pStyle w:val="2"/>
      </w:pPr>
      <w:r>
        <w:rPr>
          <w:rFonts w:hint="eastAsia"/>
        </w:rPr>
        <w:t>1.2</w:t>
      </w:r>
      <w:r>
        <w:t xml:space="preserve"> </w:t>
      </w:r>
      <w:r>
        <w:rPr>
          <w:rFonts w:hint="eastAsia"/>
        </w:rPr>
        <w:t>政策持续推进老旧小区改造</w:t>
      </w:r>
    </w:p>
    <w:p w14:paraId="482B314C" w14:textId="083D52F7" w:rsidR="00A7333C" w:rsidRDefault="00A7333C" w:rsidP="00A7333C">
      <w:r w:rsidRPr="00D817C6">
        <w:rPr>
          <w:rFonts w:hint="eastAsia"/>
          <w:b/>
          <w:bCs/>
        </w:rPr>
        <w:t>老旧小区改造始于</w:t>
      </w:r>
      <w:r w:rsidRPr="00D817C6">
        <w:rPr>
          <w:rFonts w:hint="eastAsia"/>
          <w:b/>
          <w:bCs/>
        </w:rPr>
        <w:t>2015</w:t>
      </w:r>
      <w:r w:rsidRPr="00D817C6">
        <w:rPr>
          <w:rFonts w:hint="eastAsia"/>
          <w:b/>
          <w:bCs/>
        </w:rPr>
        <w:t>年</w:t>
      </w:r>
      <w:r>
        <w:rPr>
          <w:rFonts w:hint="eastAsia"/>
          <w:b/>
          <w:bCs/>
        </w:rPr>
        <w:t>。</w:t>
      </w:r>
      <w:proofErr w:type="gramStart"/>
      <w:r>
        <w:rPr>
          <w:rFonts w:hint="eastAsia"/>
        </w:rPr>
        <w:t>与棚改</w:t>
      </w:r>
      <w:proofErr w:type="gramEnd"/>
      <w:r>
        <w:rPr>
          <w:rFonts w:hint="eastAsia"/>
        </w:rPr>
        <w:t>的货币化安置或实物安置不同，老旧小区改造主要针对其缺乏的社区配套设施进行改善，包含</w:t>
      </w:r>
      <w:proofErr w:type="gramStart"/>
      <w:r w:rsidRPr="001B3339">
        <w:rPr>
          <w:rFonts w:hint="eastAsia"/>
        </w:rPr>
        <w:t>更新水</w:t>
      </w:r>
      <w:proofErr w:type="gramEnd"/>
      <w:r w:rsidRPr="001B3339">
        <w:rPr>
          <w:rFonts w:hint="eastAsia"/>
        </w:rPr>
        <w:t>电路气等配套设施，支持加装电梯，健全便民市场、便利店、步行街、停车场、无障碍通道等生活服务设施</w:t>
      </w:r>
      <w:r>
        <w:rPr>
          <w:rFonts w:hint="eastAsia"/>
        </w:rPr>
        <w:t>。出于保民生的考虑，</w:t>
      </w:r>
      <w:r>
        <w:rPr>
          <w:rFonts w:hint="eastAsia"/>
        </w:rPr>
        <w:t>2015</w:t>
      </w:r>
      <w:r>
        <w:rPr>
          <w:rFonts w:hint="eastAsia"/>
        </w:rPr>
        <w:t>年</w:t>
      </w:r>
      <w:r>
        <w:rPr>
          <w:rFonts w:hint="eastAsia"/>
        </w:rPr>
        <w:t>12</w:t>
      </w:r>
      <w:r>
        <w:rPr>
          <w:rFonts w:hint="eastAsia"/>
        </w:rPr>
        <w:t>月，</w:t>
      </w:r>
      <w:r w:rsidRPr="00D817C6">
        <w:rPr>
          <w:rFonts w:hint="eastAsia"/>
        </w:rPr>
        <w:t>中央城市工作会议</w:t>
      </w:r>
      <w:r>
        <w:rPr>
          <w:rFonts w:hint="eastAsia"/>
        </w:rPr>
        <w:t>首次提出加快老旧小区改造。</w:t>
      </w:r>
    </w:p>
    <w:p w14:paraId="3C0F0594" w14:textId="77777777" w:rsidR="00A7333C" w:rsidRPr="00066981" w:rsidRDefault="00A7333C" w:rsidP="00A7333C">
      <w:pPr>
        <w:rPr>
          <w:b/>
          <w:bCs/>
        </w:rPr>
      </w:pPr>
      <w:r w:rsidRPr="00066981">
        <w:rPr>
          <w:rFonts w:hint="eastAsia"/>
          <w:b/>
          <w:bCs/>
        </w:rPr>
        <w:t>2017</w:t>
      </w:r>
      <w:r w:rsidRPr="00066981">
        <w:rPr>
          <w:rFonts w:hint="eastAsia"/>
          <w:b/>
          <w:bCs/>
        </w:rPr>
        <w:t>年</w:t>
      </w:r>
      <w:r w:rsidRPr="00066981">
        <w:rPr>
          <w:rFonts w:hint="eastAsia"/>
          <w:b/>
          <w:bCs/>
        </w:rPr>
        <w:t>12</w:t>
      </w:r>
      <w:r w:rsidRPr="00066981">
        <w:rPr>
          <w:rFonts w:hint="eastAsia"/>
          <w:b/>
          <w:bCs/>
        </w:rPr>
        <w:t>月，老旧小区改造试点</w:t>
      </w:r>
      <w:r>
        <w:rPr>
          <w:rFonts w:hint="eastAsia"/>
          <w:b/>
          <w:bCs/>
        </w:rPr>
        <w:t>开始启动</w:t>
      </w:r>
      <w:r w:rsidRPr="00066981">
        <w:rPr>
          <w:rFonts w:hint="eastAsia"/>
          <w:b/>
          <w:bCs/>
        </w:rPr>
        <w:t>。</w:t>
      </w:r>
      <w:r w:rsidRPr="00066981">
        <w:rPr>
          <w:rFonts w:hint="eastAsia"/>
        </w:rPr>
        <w:t>2017</w:t>
      </w:r>
      <w:r w:rsidRPr="00066981">
        <w:rPr>
          <w:rFonts w:hint="eastAsia"/>
        </w:rPr>
        <w:t>年</w:t>
      </w:r>
      <w:r w:rsidRPr="00066981">
        <w:rPr>
          <w:rFonts w:hint="eastAsia"/>
        </w:rPr>
        <w:t>12</w:t>
      </w:r>
      <w:r w:rsidRPr="00066981">
        <w:rPr>
          <w:rFonts w:hint="eastAsia"/>
        </w:rPr>
        <w:t>月，</w:t>
      </w:r>
      <w:r>
        <w:rPr>
          <w:rFonts w:hint="eastAsia"/>
        </w:rPr>
        <w:t>住建部提出在</w:t>
      </w:r>
      <w:r w:rsidRPr="003C39A5">
        <w:rPr>
          <w:rFonts w:hint="eastAsia"/>
        </w:rPr>
        <w:t>15</w:t>
      </w:r>
      <w:r w:rsidRPr="003C39A5">
        <w:rPr>
          <w:rFonts w:hint="eastAsia"/>
        </w:rPr>
        <w:t>个城市开展老旧小区改造试点，</w:t>
      </w:r>
      <w:r>
        <w:rPr>
          <w:rFonts w:hint="eastAsia"/>
        </w:rPr>
        <w:t>以</w:t>
      </w:r>
      <w:r w:rsidRPr="003C39A5">
        <w:rPr>
          <w:rFonts w:hint="eastAsia"/>
        </w:rPr>
        <w:t>探索城市老旧小区改造的新模式，为推进全国老旧小区改造提供可复制、可推广的经验</w:t>
      </w:r>
      <w:r>
        <w:rPr>
          <w:rFonts w:hint="eastAsia"/>
        </w:rPr>
        <w:t>。</w:t>
      </w:r>
      <w:r>
        <w:rPr>
          <w:rFonts w:hint="eastAsia"/>
        </w:rPr>
        <w:t>2018</w:t>
      </w:r>
      <w:r>
        <w:rPr>
          <w:rFonts w:hint="eastAsia"/>
        </w:rPr>
        <w:t>年起，试点城市积极响应，如广州明确</w:t>
      </w:r>
      <w:r>
        <w:rPr>
          <w:rFonts w:hint="eastAsia"/>
        </w:rPr>
        <w:t>2018-2020</w:t>
      </w:r>
      <w:r>
        <w:rPr>
          <w:rFonts w:hint="eastAsia"/>
        </w:rPr>
        <w:t>年推进</w:t>
      </w:r>
      <w:r>
        <w:rPr>
          <w:rFonts w:hint="eastAsia"/>
        </w:rPr>
        <w:t>779</w:t>
      </w:r>
      <w:r>
        <w:rPr>
          <w:rFonts w:hint="eastAsia"/>
        </w:rPr>
        <w:t>个老旧小区</w:t>
      </w:r>
      <w:proofErr w:type="gramStart"/>
      <w:r>
        <w:rPr>
          <w:rFonts w:hint="eastAsia"/>
        </w:rPr>
        <w:t>微改造</w:t>
      </w:r>
      <w:proofErr w:type="gramEnd"/>
      <w:r>
        <w:rPr>
          <w:rFonts w:hint="eastAsia"/>
        </w:rPr>
        <w:t>工作、厦门力争</w:t>
      </w:r>
      <w:r>
        <w:rPr>
          <w:rFonts w:hint="eastAsia"/>
        </w:rPr>
        <w:t>2020</w:t>
      </w:r>
      <w:r>
        <w:rPr>
          <w:rFonts w:hint="eastAsia"/>
        </w:rPr>
        <w:t>年基本完成改造符合条件的老旧小区等。截至</w:t>
      </w:r>
      <w:r>
        <w:rPr>
          <w:rFonts w:hint="eastAsia"/>
        </w:rPr>
        <w:t>2018</w:t>
      </w:r>
      <w:r>
        <w:rPr>
          <w:rFonts w:hint="eastAsia"/>
        </w:rPr>
        <w:t>年</w:t>
      </w:r>
      <w:r>
        <w:rPr>
          <w:rFonts w:hint="eastAsia"/>
        </w:rPr>
        <w:t>12</w:t>
      </w:r>
      <w:r>
        <w:rPr>
          <w:rFonts w:hint="eastAsia"/>
        </w:rPr>
        <w:t>月，试点城市</w:t>
      </w:r>
      <w:r w:rsidRPr="00EA6735">
        <w:rPr>
          <w:rFonts w:hint="eastAsia"/>
        </w:rPr>
        <w:t>共改造老旧小区</w:t>
      </w:r>
      <w:r w:rsidRPr="00EA6735">
        <w:rPr>
          <w:rFonts w:hint="eastAsia"/>
        </w:rPr>
        <w:t>106</w:t>
      </w:r>
      <w:r w:rsidRPr="00EA6735">
        <w:rPr>
          <w:rFonts w:hint="eastAsia"/>
        </w:rPr>
        <w:t>个，惠及</w:t>
      </w:r>
      <w:r w:rsidRPr="00EA6735">
        <w:rPr>
          <w:rFonts w:hint="eastAsia"/>
        </w:rPr>
        <w:t>5.9</w:t>
      </w:r>
      <w:r w:rsidRPr="00EA6735">
        <w:rPr>
          <w:rFonts w:hint="eastAsia"/>
        </w:rPr>
        <w:t>万户居民</w:t>
      </w:r>
      <w:r>
        <w:rPr>
          <w:rFonts w:hint="eastAsia"/>
        </w:rPr>
        <w:t>，老旧小区改造逐步推进。</w:t>
      </w:r>
    </w:p>
    <w:p w14:paraId="2755D7DB" w14:textId="77777777" w:rsidR="00A7333C" w:rsidRDefault="00A7333C" w:rsidP="00A7333C">
      <w:r w:rsidRPr="00D817C6">
        <w:rPr>
          <w:rFonts w:hint="eastAsia"/>
          <w:b/>
          <w:bCs/>
        </w:rPr>
        <w:t>2019</w:t>
      </w:r>
      <w:r w:rsidRPr="00D817C6">
        <w:rPr>
          <w:rFonts w:hint="eastAsia"/>
          <w:b/>
          <w:bCs/>
        </w:rPr>
        <w:t>年</w:t>
      </w:r>
      <w:r w:rsidRPr="00D817C6">
        <w:rPr>
          <w:rFonts w:hint="eastAsia"/>
          <w:b/>
          <w:bCs/>
        </w:rPr>
        <w:t>6</w:t>
      </w:r>
      <w:r w:rsidRPr="00D817C6">
        <w:rPr>
          <w:rFonts w:hint="eastAsia"/>
          <w:b/>
          <w:bCs/>
        </w:rPr>
        <w:t>月以来，中央多次提及老旧小区改造</w:t>
      </w:r>
      <w:r>
        <w:rPr>
          <w:rFonts w:hint="eastAsia"/>
          <w:b/>
          <w:bCs/>
        </w:rPr>
        <w:t>，以老旧小区为切入点稳投资</w:t>
      </w:r>
      <w:r w:rsidRPr="00D817C6">
        <w:rPr>
          <w:rFonts w:hint="eastAsia"/>
          <w:b/>
          <w:bCs/>
        </w:rPr>
        <w:t>。</w:t>
      </w:r>
      <w:r>
        <w:rPr>
          <w:rFonts w:hint="eastAsia"/>
        </w:rPr>
        <w:t>2019</w:t>
      </w:r>
      <w:r>
        <w:rPr>
          <w:rFonts w:hint="eastAsia"/>
        </w:rPr>
        <w:t>年</w:t>
      </w:r>
      <w:r>
        <w:rPr>
          <w:rFonts w:hint="eastAsia"/>
        </w:rPr>
        <w:t>6-7</w:t>
      </w:r>
      <w:r>
        <w:rPr>
          <w:rFonts w:hint="eastAsia"/>
        </w:rPr>
        <w:t>月，中央层面三次提及老旧小区改造。</w:t>
      </w:r>
      <w:r>
        <w:rPr>
          <w:rFonts w:hint="eastAsia"/>
        </w:rPr>
        <w:t>6</w:t>
      </w:r>
      <w:r>
        <w:rPr>
          <w:rFonts w:hint="eastAsia"/>
        </w:rPr>
        <w:t>月国务院常委会部署</w:t>
      </w:r>
      <w:r w:rsidRPr="0099085B">
        <w:rPr>
          <w:rFonts w:hint="eastAsia"/>
        </w:rPr>
        <w:t>推进城</w:t>
      </w:r>
      <w:r w:rsidRPr="0099085B">
        <w:rPr>
          <w:rFonts w:hint="eastAsia"/>
        </w:rPr>
        <w:lastRenderedPageBreak/>
        <w:t>镇老旧小区改造</w:t>
      </w:r>
      <w:r>
        <w:rPr>
          <w:rFonts w:hint="eastAsia"/>
        </w:rPr>
        <w:t>；</w:t>
      </w:r>
      <w:r>
        <w:rPr>
          <w:rFonts w:hint="eastAsia"/>
        </w:rPr>
        <w:t>7</w:t>
      </w:r>
      <w:r>
        <w:rPr>
          <w:rFonts w:hint="eastAsia"/>
        </w:rPr>
        <w:t>月中共中央政治局会议提出</w:t>
      </w:r>
      <w:r w:rsidRPr="0099085B">
        <w:rPr>
          <w:rFonts w:hint="eastAsia"/>
        </w:rPr>
        <w:t>稳定制造业投资，实施城镇老旧小区改造等补短板工程</w:t>
      </w:r>
      <w:r>
        <w:rPr>
          <w:rFonts w:hint="eastAsia"/>
        </w:rPr>
        <w:t>；</w:t>
      </w:r>
      <w:r>
        <w:rPr>
          <w:rFonts w:hint="eastAsia"/>
        </w:rPr>
        <w:t>7</w:t>
      </w:r>
      <w:r>
        <w:rPr>
          <w:rFonts w:hint="eastAsia"/>
        </w:rPr>
        <w:t>月国务院常委会</w:t>
      </w:r>
      <w:r w:rsidRPr="0099085B">
        <w:rPr>
          <w:rFonts w:hint="eastAsia"/>
        </w:rPr>
        <w:t>鼓励把社区医疗、养老、家政纳入老旧小区改造范围，</w:t>
      </w:r>
      <w:r>
        <w:rPr>
          <w:rFonts w:hint="eastAsia"/>
        </w:rPr>
        <w:t>并</w:t>
      </w:r>
      <w:r w:rsidRPr="0099085B">
        <w:rPr>
          <w:rFonts w:hint="eastAsia"/>
        </w:rPr>
        <w:t>给予财税支持</w:t>
      </w:r>
      <w:r>
        <w:rPr>
          <w:rFonts w:hint="eastAsia"/>
        </w:rPr>
        <w:t>。</w:t>
      </w:r>
      <w:r>
        <w:rPr>
          <w:rFonts w:hint="eastAsia"/>
        </w:rPr>
        <w:t>2020</w:t>
      </w:r>
      <w:r>
        <w:rPr>
          <w:rFonts w:hint="eastAsia"/>
        </w:rPr>
        <w:t>年，疫情对中国经济造成了一定程度的打击。</w:t>
      </w:r>
      <w:r w:rsidRPr="001B3339">
        <w:rPr>
          <w:rFonts w:hint="eastAsia"/>
        </w:rPr>
        <w:t>随着棚</w:t>
      </w:r>
      <w:proofErr w:type="gramStart"/>
      <w:r w:rsidRPr="001B3339">
        <w:rPr>
          <w:rFonts w:hint="eastAsia"/>
        </w:rPr>
        <w:t>改</w:t>
      </w:r>
      <w:r>
        <w:rPr>
          <w:rFonts w:hint="eastAsia"/>
        </w:rPr>
        <w:t>规模</w:t>
      </w:r>
      <w:proofErr w:type="gramEnd"/>
      <w:r>
        <w:rPr>
          <w:rFonts w:hint="eastAsia"/>
        </w:rPr>
        <w:t>大幅下降，房地产投资增长动力有所减弱，同时</w:t>
      </w:r>
      <w:proofErr w:type="gramStart"/>
      <w:r>
        <w:rPr>
          <w:rFonts w:hint="eastAsia"/>
        </w:rPr>
        <w:t>顶层对</w:t>
      </w:r>
      <w:proofErr w:type="gramEnd"/>
      <w:r>
        <w:rPr>
          <w:rFonts w:hint="eastAsia"/>
        </w:rPr>
        <w:t>房地产行业的调控仍然以稳为主，因此政策层面再次提出对老旧小区改造的支持，以创造基建投资和消费需求。</w:t>
      </w:r>
      <w:r>
        <w:rPr>
          <w:rFonts w:hint="eastAsia"/>
        </w:rPr>
        <w:t>2020</w:t>
      </w:r>
      <w:r>
        <w:rPr>
          <w:rFonts w:hint="eastAsia"/>
        </w:rPr>
        <w:t>年</w:t>
      </w:r>
      <w:r>
        <w:rPr>
          <w:rFonts w:hint="eastAsia"/>
        </w:rPr>
        <w:t>4</w:t>
      </w:r>
      <w:r>
        <w:rPr>
          <w:rFonts w:hint="eastAsia"/>
        </w:rPr>
        <w:t>月，财政部提出</w:t>
      </w:r>
      <w:r>
        <w:rPr>
          <w:rFonts w:hint="eastAsia"/>
        </w:rPr>
        <w:t>2020</w:t>
      </w:r>
      <w:r>
        <w:rPr>
          <w:rFonts w:hint="eastAsia"/>
        </w:rPr>
        <w:t>年政府专项债券</w:t>
      </w:r>
      <w:r w:rsidRPr="00AA3079">
        <w:rPr>
          <w:rFonts w:hint="eastAsia"/>
        </w:rPr>
        <w:t>不用于土地收储和与房地产相关的项目，</w:t>
      </w:r>
      <w:r>
        <w:rPr>
          <w:rFonts w:hint="eastAsia"/>
        </w:rPr>
        <w:t>但</w:t>
      </w:r>
      <w:r w:rsidRPr="00AA3079">
        <w:rPr>
          <w:rFonts w:hint="eastAsia"/>
        </w:rPr>
        <w:t>将城镇老旧小区改造纳入了支持范围</w:t>
      </w:r>
      <w:r>
        <w:rPr>
          <w:rFonts w:hint="eastAsia"/>
        </w:rPr>
        <w:t>。中央密集出台针对老旧小区改造的推进部署及财政支持政策，以期在维持房地产市场平稳发展的同时，达成</w:t>
      </w:r>
      <w:proofErr w:type="gramStart"/>
      <w:r>
        <w:rPr>
          <w:rFonts w:hint="eastAsia"/>
        </w:rPr>
        <w:t>稳投资</w:t>
      </w:r>
      <w:proofErr w:type="gramEnd"/>
      <w:r>
        <w:rPr>
          <w:rFonts w:hint="eastAsia"/>
        </w:rPr>
        <w:t>目标。</w:t>
      </w:r>
    </w:p>
    <w:p w14:paraId="6D0AEAAA" w14:textId="703E5589" w:rsidR="00A7333C" w:rsidRPr="00A7333C" w:rsidRDefault="00A7333C" w:rsidP="00F56173">
      <w:pPr>
        <w:spacing w:after="100"/>
        <w:ind w:right="0"/>
        <w:jc w:val="left"/>
        <w:rPr>
          <w:b/>
          <w:bCs/>
        </w:rPr>
      </w:pPr>
      <w:r w:rsidRPr="00A7333C">
        <w:rPr>
          <w:rFonts w:hint="eastAsia"/>
          <w:b/>
          <w:bCs/>
        </w:rPr>
        <w:t>表</w:t>
      </w:r>
      <w:r w:rsidRPr="00A7333C">
        <w:rPr>
          <w:rFonts w:hint="eastAsia"/>
          <w:b/>
          <w:bCs/>
        </w:rPr>
        <w:t xml:space="preserve"> </w:t>
      </w:r>
      <w:r w:rsidRPr="00A7333C">
        <w:rPr>
          <w:b/>
          <w:bCs/>
        </w:rPr>
        <w:fldChar w:fldCharType="begin"/>
      </w:r>
      <w:r w:rsidRPr="00A7333C">
        <w:rPr>
          <w:b/>
          <w:bCs/>
        </w:rPr>
        <w:instrText xml:space="preserve"> </w:instrText>
      </w:r>
      <w:r w:rsidRPr="00A7333C">
        <w:rPr>
          <w:rFonts w:hint="eastAsia"/>
          <w:b/>
          <w:bCs/>
        </w:rPr>
        <w:instrText xml:space="preserve">SEQ </w:instrText>
      </w:r>
      <w:r w:rsidRPr="00A7333C">
        <w:rPr>
          <w:rFonts w:hint="eastAsia"/>
          <w:b/>
          <w:bCs/>
        </w:rPr>
        <w:instrText>表</w:instrText>
      </w:r>
      <w:r w:rsidRPr="00A7333C">
        <w:rPr>
          <w:rFonts w:hint="eastAsia"/>
          <w:b/>
          <w:bCs/>
        </w:rPr>
        <w:instrText xml:space="preserve"> \* ARABIC</w:instrText>
      </w:r>
      <w:r w:rsidRPr="00A7333C">
        <w:rPr>
          <w:b/>
          <w:bCs/>
        </w:rPr>
        <w:instrText xml:space="preserve"> </w:instrText>
      </w:r>
      <w:r w:rsidRPr="00A7333C">
        <w:rPr>
          <w:b/>
          <w:bCs/>
        </w:rPr>
        <w:fldChar w:fldCharType="separate"/>
      </w:r>
      <w:r w:rsidR="00DB5785">
        <w:rPr>
          <w:b/>
          <w:bCs/>
          <w:noProof/>
        </w:rPr>
        <w:t>3</w:t>
      </w:r>
      <w:r w:rsidRPr="00A7333C">
        <w:rPr>
          <w:b/>
          <w:bCs/>
        </w:rPr>
        <w:fldChar w:fldCharType="end"/>
      </w:r>
      <w:r w:rsidRPr="00A7333C">
        <w:rPr>
          <w:rFonts w:hint="eastAsia"/>
          <w:b/>
          <w:bCs/>
        </w:rPr>
        <w:t>：老旧小区改造持续获得中央层面政策支持</w:t>
      </w:r>
    </w:p>
    <w:tbl>
      <w:tblPr>
        <w:tblW w:w="10206" w:type="dxa"/>
        <w:tblLook w:val="04A0" w:firstRow="1" w:lastRow="0" w:firstColumn="1" w:lastColumn="0" w:noHBand="0" w:noVBand="1"/>
      </w:tblPr>
      <w:tblGrid>
        <w:gridCol w:w="938"/>
        <w:gridCol w:w="1092"/>
        <w:gridCol w:w="1514"/>
        <w:gridCol w:w="6662"/>
      </w:tblGrid>
      <w:tr w:rsidR="00A7333C" w:rsidRPr="00F56173" w14:paraId="4A546609" w14:textId="77777777" w:rsidTr="000546A7">
        <w:trPr>
          <w:trHeight w:val="260"/>
        </w:trPr>
        <w:tc>
          <w:tcPr>
            <w:tcW w:w="938" w:type="dxa"/>
            <w:tcBorders>
              <w:top w:val="single" w:sz="4" w:space="0" w:color="auto"/>
              <w:left w:val="nil"/>
              <w:bottom w:val="single" w:sz="4" w:space="0" w:color="auto"/>
              <w:right w:val="nil"/>
            </w:tcBorders>
            <w:shd w:val="clear" w:color="000000" w:fill="EDEDED"/>
            <w:noWrap/>
            <w:vAlign w:val="center"/>
            <w:hideMark/>
          </w:tcPr>
          <w:p w14:paraId="56D96C99" w14:textId="77777777" w:rsidR="00A7333C" w:rsidRPr="00F56173" w:rsidRDefault="00A7333C" w:rsidP="000546A7">
            <w:pPr>
              <w:spacing w:after="0" w:line="240" w:lineRule="auto"/>
              <w:ind w:right="0"/>
              <w:jc w:val="center"/>
              <w:rPr>
                <w:rFonts w:cs="Times New Roman"/>
                <w:b/>
                <w:bCs/>
                <w:color w:val="000000"/>
                <w:szCs w:val="21"/>
              </w:rPr>
            </w:pPr>
            <w:r w:rsidRPr="00F56173">
              <w:rPr>
                <w:rFonts w:ascii="楷体" w:hAnsi="楷体" w:cs="Times New Roman" w:hint="eastAsia"/>
                <w:b/>
                <w:bCs/>
                <w:color w:val="000000"/>
                <w:szCs w:val="21"/>
              </w:rPr>
              <w:t>阶段</w:t>
            </w:r>
          </w:p>
        </w:tc>
        <w:tc>
          <w:tcPr>
            <w:tcW w:w="1092" w:type="dxa"/>
            <w:tcBorders>
              <w:top w:val="single" w:sz="4" w:space="0" w:color="auto"/>
              <w:left w:val="nil"/>
              <w:bottom w:val="single" w:sz="4" w:space="0" w:color="auto"/>
              <w:right w:val="nil"/>
            </w:tcBorders>
            <w:shd w:val="clear" w:color="000000" w:fill="EDEDED"/>
            <w:noWrap/>
            <w:vAlign w:val="center"/>
            <w:hideMark/>
          </w:tcPr>
          <w:p w14:paraId="6E2818B3" w14:textId="77777777" w:rsidR="00A7333C" w:rsidRPr="00F56173" w:rsidRDefault="00A7333C" w:rsidP="000546A7">
            <w:pPr>
              <w:spacing w:after="0" w:line="240" w:lineRule="auto"/>
              <w:ind w:right="0"/>
              <w:jc w:val="center"/>
              <w:rPr>
                <w:rFonts w:cs="Times New Roman"/>
                <w:b/>
                <w:bCs/>
                <w:color w:val="000000"/>
                <w:szCs w:val="21"/>
              </w:rPr>
            </w:pPr>
            <w:r w:rsidRPr="00F56173">
              <w:rPr>
                <w:rFonts w:ascii="楷体" w:hAnsi="楷体" w:cs="Times New Roman" w:hint="eastAsia"/>
                <w:b/>
                <w:bCs/>
                <w:color w:val="000000"/>
                <w:szCs w:val="21"/>
              </w:rPr>
              <w:t>时间</w:t>
            </w:r>
          </w:p>
        </w:tc>
        <w:tc>
          <w:tcPr>
            <w:tcW w:w="1514" w:type="dxa"/>
            <w:tcBorders>
              <w:top w:val="single" w:sz="4" w:space="0" w:color="auto"/>
              <w:left w:val="nil"/>
              <w:bottom w:val="single" w:sz="4" w:space="0" w:color="auto"/>
              <w:right w:val="nil"/>
            </w:tcBorders>
            <w:shd w:val="clear" w:color="000000" w:fill="EDEDED"/>
            <w:noWrap/>
            <w:vAlign w:val="center"/>
            <w:hideMark/>
          </w:tcPr>
          <w:p w14:paraId="1348732E" w14:textId="77777777" w:rsidR="00A7333C" w:rsidRPr="00F56173" w:rsidRDefault="00A7333C" w:rsidP="000546A7">
            <w:pPr>
              <w:spacing w:after="0" w:line="240" w:lineRule="auto"/>
              <w:ind w:right="0"/>
              <w:jc w:val="center"/>
              <w:rPr>
                <w:rFonts w:cs="Times New Roman"/>
                <w:b/>
                <w:bCs/>
                <w:color w:val="000000"/>
                <w:szCs w:val="21"/>
              </w:rPr>
            </w:pPr>
            <w:r w:rsidRPr="00F56173">
              <w:rPr>
                <w:rFonts w:ascii="楷体" w:hAnsi="楷体" w:cs="Times New Roman" w:hint="eastAsia"/>
                <w:b/>
                <w:bCs/>
                <w:color w:val="000000"/>
                <w:szCs w:val="21"/>
              </w:rPr>
              <w:t>部门</w:t>
            </w:r>
          </w:p>
        </w:tc>
        <w:tc>
          <w:tcPr>
            <w:tcW w:w="6662" w:type="dxa"/>
            <w:tcBorders>
              <w:top w:val="single" w:sz="4" w:space="0" w:color="auto"/>
              <w:left w:val="nil"/>
              <w:bottom w:val="single" w:sz="4" w:space="0" w:color="auto"/>
              <w:right w:val="nil"/>
            </w:tcBorders>
            <w:shd w:val="clear" w:color="000000" w:fill="EDEDED"/>
            <w:noWrap/>
            <w:vAlign w:val="center"/>
            <w:hideMark/>
          </w:tcPr>
          <w:p w14:paraId="5D7771C4" w14:textId="77777777" w:rsidR="00A7333C" w:rsidRPr="00F56173" w:rsidRDefault="00A7333C" w:rsidP="000546A7">
            <w:pPr>
              <w:spacing w:after="0" w:line="240" w:lineRule="auto"/>
              <w:ind w:right="0"/>
              <w:jc w:val="center"/>
              <w:rPr>
                <w:rFonts w:cs="Times New Roman"/>
                <w:b/>
                <w:bCs/>
                <w:color w:val="000000"/>
                <w:szCs w:val="21"/>
              </w:rPr>
            </w:pPr>
            <w:r w:rsidRPr="00F56173">
              <w:rPr>
                <w:rFonts w:ascii="楷体" w:hAnsi="楷体" w:cs="Times New Roman" w:hint="eastAsia"/>
                <w:b/>
                <w:bCs/>
                <w:color w:val="000000"/>
                <w:szCs w:val="21"/>
              </w:rPr>
              <w:t>政策摘要</w:t>
            </w:r>
          </w:p>
        </w:tc>
      </w:tr>
      <w:tr w:rsidR="00A7333C" w:rsidRPr="00F56173" w14:paraId="39DC7A3D" w14:textId="77777777" w:rsidTr="000546A7">
        <w:trPr>
          <w:trHeight w:val="520"/>
        </w:trPr>
        <w:tc>
          <w:tcPr>
            <w:tcW w:w="938" w:type="dxa"/>
            <w:tcBorders>
              <w:top w:val="nil"/>
              <w:left w:val="nil"/>
              <w:bottom w:val="single" w:sz="4" w:space="0" w:color="auto"/>
              <w:right w:val="nil"/>
            </w:tcBorders>
            <w:shd w:val="clear" w:color="auto" w:fill="auto"/>
            <w:noWrap/>
            <w:vAlign w:val="center"/>
            <w:hideMark/>
          </w:tcPr>
          <w:p w14:paraId="22DB4E73"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起始</w:t>
            </w:r>
          </w:p>
        </w:tc>
        <w:tc>
          <w:tcPr>
            <w:tcW w:w="1092" w:type="dxa"/>
            <w:tcBorders>
              <w:top w:val="nil"/>
              <w:left w:val="nil"/>
              <w:bottom w:val="single" w:sz="4" w:space="0" w:color="auto"/>
              <w:right w:val="nil"/>
            </w:tcBorders>
            <w:shd w:val="clear" w:color="auto" w:fill="auto"/>
            <w:noWrap/>
            <w:vAlign w:val="center"/>
            <w:hideMark/>
          </w:tcPr>
          <w:p w14:paraId="525D49D3" w14:textId="77777777" w:rsidR="00A7333C" w:rsidRPr="00F56173" w:rsidRDefault="00A7333C" w:rsidP="000546A7">
            <w:pPr>
              <w:spacing w:after="0" w:line="240" w:lineRule="auto"/>
              <w:ind w:right="0"/>
              <w:jc w:val="center"/>
              <w:rPr>
                <w:rFonts w:cs="Times New Roman"/>
                <w:color w:val="000000"/>
                <w:szCs w:val="21"/>
              </w:rPr>
            </w:pPr>
            <w:r w:rsidRPr="00F56173">
              <w:rPr>
                <w:rFonts w:cs="Times New Roman"/>
                <w:color w:val="000000"/>
                <w:szCs w:val="21"/>
              </w:rPr>
              <w:t>2015/12</w:t>
            </w:r>
          </w:p>
        </w:tc>
        <w:tc>
          <w:tcPr>
            <w:tcW w:w="1514" w:type="dxa"/>
            <w:tcBorders>
              <w:top w:val="nil"/>
              <w:left w:val="nil"/>
              <w:bottom w:val="single" w:sz="4" w:space="0" w:color="auto"/>
              <w:right w:val="nil"/>
            </w:tcBorders>
            <w:shd w:val="clear" w:color="auto" w:fill="auto"/>
            <w:vAlign w:val="center"/>
            <w:hideMark/>
          </w:tcPr>
          <w:p w14:paraId="5FE5F865"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中央城市工作会议</w:t>
            </w:r>
          </w:p>
        </w:tc>
        <w:tc>
          <w:tcPr>
            <w:tcW w:w="6662" w:type="dxa"/>
            <w:tcBorders>
              <w:top w:val="nil"/>
              <w:left w:val="nil"/>
              <w:bottom w:val="single" w:sz="4" w:space="0" w:color="auto"/>
              <w:right w:val="nil"/>
            </w:tcBorders>
            <w:shd w:val="clear" w:color="auto" w:fill="auto"/>
            <w:noWrap/>
            <w:vAlign w:val="center"/>
            <w:hideMark/>
          </w:tcPr>
          <w:p w14:paraId="1477253E"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color w:val="000000"/>
                <w:szCs w:val="21"/>
              </w:rPr>
              <w:t>深化城镇住房制度改革，继续完善住房保障体系，加快城镇棚户区和危房改造，</w:t>
            </w:r>
            <w:r w:rsidRPr="00F56173">
              <w:rPr>
                <w:rFonts w:ascii="楷体" w:hAnsi="楷体" w:cs="Times New Roman" w:hint="eastAsia"/>
                <w:b/>
                <w:bCs/>
                <w:color w:val="000000"/>
                <w:szCs w:val="21"/>
              </w:rPr>
              <w:t>加快老旧小区改造</w:t>
            </w:r>
            <w:r w:rsidRPr="00F56173">
              <w:rPr>
                <w:rFonts w:ascii="楷体" w:hAnsi="楷体" w:cs="Times New Roman" w:hint="eastAsia"/>
                <w:color w:val="000000"/>
                <w:szCs w:val="21"/>
              </w:rPr>
              <w:t>。</w:t>
            </w:r>
          </w:p>
        </w:tc>
      </w:tr>
      <w:tr w:rsidR="00A7333C" w:rsidRPr="00F56173" w14:paraId="2DE3ABB7" w14:textId="77777777" w:rsidTr="000546A7">
        <w:trPr>
          <w:trHeight w:val="260"/>
        </w:trPr>
        <w:tc>
          <w:tcPr>
            <w:tcW w:w="938" w:type="dxa"/>
            <w:tcBorders>
              <w:top w:val="nil"/>
              <w:left w:val="nil"/>
              <w:bottom w:val="single" w:sz="4" w:space="0" w:color="000000"/>
              <w:right w:val="nil"/>
            </w:tcBorders>
            <w:shd w:val="clear" w:color="auto" w:fill="auto"/>
            <w:noWrap/>
            <w:vAlign w:val="center"/>
            <w:hideMark/>
          </w:tcPr>
          <w:p w14:paraId="5A4A5146"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试点</w:t>
            </w:r>
          </w:p>
        </w:tc>
        <w:tc>
          <w:tcPr>
            <w:tcW w:w="1092" w:type="dxa"/>
            <w:tcBorders>
              <w:top w:val="nil"/>
              <w:left w:val="nil"/>
              <w:bottom w:val="single" w:sz="4" w:space="0" w:color="auto"/>
              <w:right w:val="nil"/>
            </w:tcBorders>
            <w:shd w:val="clear" w:color="auto" w:fill="auto"/>
            <w:noWrap/>
            <w:vAlign w:val="center"/>
            <w:hideMark/>
          </w:tcPr>
          <w:p w14:paraId="701CBF78" w14:textId="77777777" w:rsidR="00A7333C" w:rsidRPr="00F56173" w:rsidRDefault="00A7333C" w:rsidP="000546A7">
            <w:pPr>
              <w:spacing w:after="0" w:line="240" w:lineRule="auto"/>
              <w:ind w:right="0"/>
              <w:jc w:val="center"/>
              <w:rPr>
                <w:rFonts w:cs="Times New Roman"/>
                <w:color w:val="000000"/>
                <w:szCs w:val="21"/>
              </w:rPr>
            </w:pPr>
            <w:r w:rsidRPr="00F56173">
              <w:rPr>
                <w:rFonts w:cs="Times New Roman"/>
                <w:color w:val="000000"/>
                <w:szCs w:val="21"/>
              </w:rPr>
              <w:t>2017/12</w:t>
            </w:r>
          </w:p>
        </w:tc>
        <w:tc>
          <w:tcPr>
            <w:tcW w:w="1514" w:type="dxa"/>
            <w:tcBorders>
              <w:top w:val="nil"/>
              <w:left w:val="nil"/>
              <w:bottom w:val="single" w:sz="4" w:space="0" w:color="auto"/>
              <w:right w:val="nil"/>
            </w:tcBorders>
            <w:shd w:val="clear" w:color="auto" w:fill="auto"/>
            <w:vAlign w:val="center"/>
            <w:hideMark/>
          </w:tcPr>
          <w:p w14:paraId="19EA6505"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住建部</w:t>
            </w:r>
          </w:p>
        </w:tc>
        <w:tc>
          <w:tcPr>
            <w:tcW w:w="6662" w:type="dxa"/>
            <w:tcBorders>
              <w:top w:val="nil"/>
              <w:left w:val="nil"/>
              <w:bottom w:val="single" w:sz="4" w:space="0" w:color="auto"/>
              <w:right w:val="nil"/>
            </w:tcBorders>
            <w:shd w:val="clear" w:color="auto" w:fill="auto"/>
            <w:noWrap/>
            <w:vAlign w:val="center"/>
            <w:hideMark/>
          </w:tcPr>
          <w:p w14:paraId="50321F32"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b/>
                <w:bCs/>
                <w:color w:val="000000"/>
                <w:szCs w:val="21"/>
              </w:rPr>
              <w:t>在</w:t>
            </w:r>
            <w:r w:rsidRPr="00F56173">
              <w:rPr>
                <w:rFonts w:cs="Times New Roman"/>
                <w:b/>
                <w:bCs/>
                <w:color w:val="000000"/>
                <w:szCs w:val="21"/>
              </w:rPr>
              <w:t>15</w:t>
            </w:r>
            <w:r w:rsidRPr="00F56173">
              <w:rPr>
                <w:rFonts w:ascii="楷体" w:hAnsi="楷体" w:cs="Times New Roman" w:hint="eastAsia"/>
                <w:b/>
                <w:bCs/>
                <w:color w:val="000000"/>
                <w:szCs w:val="21"/>
              </w:rPr>
              <w:t>个城市开展老旧小区改造试点</w:t>
            </w:r>
            <w:r w:rsidRPr="00F56173">
              <w:rPr>
                <w:rFonts w:ascii="楷体" w:hAnsi="楷体" w:cs="Times New Roman" w:hint="eastAsia"/>
                <w:color w:val="000000"/>
                <w:szCs w:val="21"/>
              </w:rPr>
              <w:t>，目的是探索城市老旧小区改造的新模式，为推进全国老旧小区改造提供可复制、可推广的经验。</w:t>
            </w:r>
            <w:r w:rsidRPr="00F56173">
              <w:rPr>
                <w:rFonts w:cs="Times New Roman"/>
                <w:color w:val="000000"/>
                <w:szCs w:val="21"/>
              </w:rPr>
              <w:t>15</w:t>
            </w:r>
            <w:r w:rsidRPr="00F56173">
              <w:rPr>
                <w:rFonts w:ascii="楷体" w:hAnsi="楷体" w:cs="Times New Roman" w:hint="eastAsia"/>
                <w:color w:val="000000"/>
                <w:szCs w:val="21"/>
              </w:rPr>
              <w:t>个试点城市为广州、韶关、柳州、秦皇岛、张家口、许昌、厦门、宜昌、长沙、淄博、呼和浩特、沈阳、鞍山、攀枝花和宁波。</w:t>
            </w:r>
          </w:p>
        </w:tc>
      </w:tr>
      <w:tr w:rsidR="00A7333C" w:rsidRPr="00F56173" w14:paraId="2BA97911" w14:textId="77777777" w:rsidTr="000546A7">
        <w:trPr>
          <w:trHeight w:val="260"/>
        </w:trPr>
        <w:tc>
          <w:tcPr>
            <w:tcW w:w="938" w:type="dxa"/>
            <w:vMerge w:val="restart"/>
            <w:tcBorders>
              <w:top w:val="nil"/>
              <w:left w:val="nil"/>
              <w:bottom w:val="single" w:sz="4" w:space="0" w:color="000000"/>
              <w:right w:val="nil"/>
            </w:tcBorders>
            <w:shd w:val="clear" w:color="auto" w:fill="auto"/>
            <w:vAlign w:val="center"/>
            <w:hideMark/>
          </w:tcPr>
          <w:p w14:paraId="123F4A33" w14:textId="77777777" w:rsidR="00A7333C" w:rsidRPr="00F56173" w:rsidRDefault="00A7333C" w:rsidP="000546A7">
            <w:pPr>
              <w:spacing w:after="0" w:line="240" w:lineRule="auto"/>
              <w:ind w:right="0"/>
              <w:jc w:val="center"/>
              <w:rPr>
                <w:rFonts w:ascii="楷体" w:hAnsi="楷体" w:cs="宋体"/>
                <w:color w:val="000000"/>
                <w:szCs w:val="21"/>
              </w:rPr>
            </w:pPr>
            <w:r w:rsidRPr="00F56173">
              <w:rPr>
                <w:rFonts w:ascii="楷体" w:hAnsi="楷体" w:cs="宋体" w:hint="eastAsia"/>
                <w:color w:val="000000"/>
                <w:szCs w:val="21"/>
              </w:rPr>
              <w:t>进一步鼓励，提供资金支持</w:t>
            </w:r>
          </w:p>
        </w:tc>
        <w:tc>
          <w:tcPr>
            <w:tcW w:w="1092" w:type="dxa"/>
            <w:tcBorders>
              <w:top w:val="nil"/>
              <w:left w:val="nil"/>
              <w:bottom w:val="single" w:sz="4" w:space="0" w:color="auto"/>
              <w:right w:val="nil"/>
            </w:tcBorders>
            <w:shd w:val="clear" w:color="auto" w:fill="auto"/>
            <w:noWrap/>
            <w:vAlign w:val="center"/>
            <w:hideMark/>
          </w:tcPr>
          <w:p w14:paraId="210E3B47" w14:textId="77777777" w:rsidR="00A7333C" w:rsidRPr="00F56173" w:rsidRDefault="00A7333C" w:rsidP="000546A7">
            <w:pPr>
              <w:spacing w:after="0" w:line="240" w:lineRule="auto"/>
              <w:ind w:right="0"/>
              <w:jc w:val="center"/>
              <w:rPr>
                <w:rFonts w:cs="Times New Roman"/>
                <w:color w:val="000000"/>
                <w:szCs w:val="21"/>
              </w:rPr>
            </w:pPr>
            <w:r w:rsidRPr="00F56173">
              <w:rPr>
                <w:rFonts w:cs="Times New Roman"/>
                <w:color w:val="000000"/>
                <w:szCs w:val="21"/>
              </w:rPr>
              <w:t>2019/6</w:t>
            </w:r>
          </w:p>
        </w:tc>
        <w:tc>
          <w:tcPr>
            <w:tcW w:w="1514" w:type="dxa"/>
            <w:tcBorders>
              <w:top w:val="nil"/>
              <w:left w:val="nil"/>
              <w:bottom w:val="single" w:sz="4" w:space="0" w:color="auto"/>
              <w:right w:val="nil"/>
            </w:tcBorders>
            <w:shd w:val="clear" w:color="auto" w:fill="auto"/>
            <w:vAlign w:val="center"/>
            <w:hideMark/>
          </w:tcPr>
          <w:p w14:paraId="3A04E7D6"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国务院</w:t>
            </w:r>
          </w:p>
        </w:tc>
        <w:tc>
          <w:tcPr>
            <w:tcW w:w="6662" w:type="dxa"/>
            <w:tcBorders>
              <w:top w:val="nil"/>
              <w:left w:val="nil"/>
              <w:bottom w:val="single" w:sz="4" w:space="0" w:color="auto"/>
              <w:right w:val="nil"/>
            </w:tcBorders>
            <w:shd w:val="clear" w:color="auto" w:fill="auto"/>
            <w:noWrap/>
            <w:vAlign w:val="center"/>
            <w:hideMark/>
          </w:tcPr>
          <w:p w14:paraId="693EDCCC"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b/>
                <w:bCs/>
                <w:color w:val="000000"/>
                <w:szCs w:val="21"/>
              </w:rPr>
              <w:t>部署推进城镇老旧小区改造</w:t>
            </w:r>
            <w:r w:rsidRPr="00F56173">
              <w:rPr>
                <w:rFonts w:ascii="楷体" w:hAnsi="楷体" w:cs="Times New Roman" w:hint="eastAsia"/>
                <w:color w:val="000000"/>
                <w:szCs w:val="21"/>
              </w:rPr>
              <w:t>。</w:t>
            </w:r>
          </w:p>
        </w:tc>
      </w:tr>
      <w:tr w:rsidR="00A7333C" w:rsidRPr="00F56173" w14:paraId="2072599E" w14:textId="77777777" w:rsidTr="000546A7">
        <w:trPr>
          <w:trHeight w:val="520"/>
        </w:trPr>
        <w:tc>
          <w:tcPr>
            <w:tcW w:w="938" w:type="dxa"/>
            <w:vMerge/>
            <w:tcBorders>
              <w:top w:val="nil"/>
              <w:left w:val="nil"/>
              <w:bottom w:val="single" w:sz="4" w:space="0" w:color="000000"/>
              <w:right w:val="nil"/>
            </w:tcBorders>
            <w:vAlign w:val="center"/>
            <w:hideMark/>
          </w:tcPr>
          <w:p w14:paraId="1F965DCA" w14:textId="77777777" w:rsidR="00A7333C" w:rsidRPr="00F56173" w:rsidRDefault="00A7333C" w:rsidP="000546A7">
            <w:pPr>
              <w:spacing w:after="0" w:line="240" w:lineRule="auto"/>
              <w:ind w:right="0"/>
              <w:jc w:val="left"/>
              <w:rPr>
                <w:rFonts w:ascii="楷体" w:hAnsi="楷体" w:cs="宋体"/>
                <w:color w:val="000000"/>
                <w:szCs w:val="21"/>
              </w:rPr>
            </w:pPr>
          </w:p>
        </w:tc>
        <w:tc>
          <w:tcPr>
            <w:tcW w:w="1092" w:type="dxa"/>
            <w:tcBorders>
              <w:top w:val="nil"/>
              <w:left w:val="nil"/>
              <w:bottom w:val="single" w:sz="4" w:space="0" w:color="auto"/>
              <w:right w:val="nil"/>
            </w:tcBorders>
            <w:shd w:val="clear" w:color="auto" w:fill="auto"/>
            <w:noWrap/>
            <w:vAlign w:val="center"/>
            <w:hideMark/>
          </w:tcPr>
          <w:p w14:paraId="6698D556" w14:textId="77777777" w:rsidR="00A7333C" w:rsidRPr="00F56173" w:rsidRDefault="00A7333C" w:rsidP="000546A7">
            <w:pPr>
              <w:spacing w:after="0" w:line="240" w:lineRule="auto"/>
              <w:ind w:right="0"/>
              <w:jc w:val="center"/>
              <w:rPr>
                <w:rFonts w:cs="Times New Roman"/>
                <w:color w:val="000000"/>
                <w:szCs w:val="21"/>
              </w:rPr>
            </w:pPr>
            <w:r w:rsidRPr="00F56173">
              <w:rPr>
                <w:rFonts w:cs="Times New Roman"/>
                <w:color w:val="000000"/>
                <w:szCs w:val="21"/>
              </w:rPr>
              <w:t>2019/7</w:t>
            </w:r>
          </w:p>
        </w:tc>
        <w:tc>
          <w:tcPr>
            <w:tcW w:w="1514" w:type="dxa"/>
            <w:tcBorders>
              <w:top w:val="nil"/>
              <w:left w:val="nil"/>
              <w:bottom w:val="single" w:sz="4" w:space="0" w:color="auto"/>
              <w:right w:val="nil"/>
            </w:tcBorders>
            <w:shd w:val="clear" w:color="auto" w:fill="auto"/>
            <w:vAlign w:val="center"/>
            <w:hideMark/>
          </w:tcPr>
          <w:p w14:paraId="103D44F9"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中共中央政治局会议</w:t>
            </w:r>
          </w:p>
        </w:tc>
        <w:tc>
          <w:tcPr>
            <w:tcW w:w="6662" w:type="dxa"/>
            <w:tcBorders>
              <w:top w:val="nil"/>
              <w:left w:val="nil"/>
              <w:bottom w:val="single" w:sz="4" w:space="0" w:color="auto"/>
              <w:right w:val="nil"/>
            </w:tcBorders>
            <w:shd w:val="clear" w:color="auto" w:fill="auto"/>
            <w:noWrap/>
            <w:vAlign w:val="center"/>
            <w:hideMark/>
          </w:tcPr>
          <w:p w14:paraId="198BBA2F"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color w:val="000000"/>
                <w:szCs w:val="21"/>
              </w:rPr>
              <w:t>稳定制造业投资，实施城镇老旧小区改造、城市停车场、城乡冷链物流设施建设等补短板工程，加快推进信息网络等新型基础设施建设。</w:t>
            </w:r>
          </w:p>
        </w:tc>
      </w:tr>
      <w:tr w:rsidR="00A7333C" w:rsidRPr="00F56173" w14:paraId="1F83B339" w14:textId="77777777" w:rsidTr="000546A7">
        <w:trPr>
          <w:trHeight w:val="260"/>
        </w:trPr>
        <w:tc>
          <w:tcPr>
            <w:tcW w:w="938" w:type="dxa"/>
            <w:vMerge/>
            <w:tcBorders>
              <w:top w:val="nil"/>
              <w:left w:val="nil"/>
              <w:bottom w:val="single" w:sz="4" w:space="0" w:color="000000"/>
              <w:right w:val="nil"/>
            </w:tcBorders>
            <w:vAlign w:val="center"/>
            <w:hideMark/>
          </w:tcPr>
          <w:p w14:paraId="5DE4D33F" w14:textId="77777777" w:rsidR="00A7333C" w:rsidRPr="00F56173" w:rsidRDefault="00A7333C" w:rsidP="000546A7">
            <w:pPr>
              <w:spacing w:after="0" w:line="240" w:lineRule="auto"/>
              <w:ind w:right="0"/>
              <w:jc w:val="left"/>
              <w:rPr>
                <w:rFonts w:ascii="楷体" w:hAnsi="楷体" w:cs="宋体"/>
                <w:color w:val="000000"/>
                <w:szCs w:val="21"/>
              </w:rPr>
            </w:pPr>
          </w:p>
        </w:tc>
        <w:tc>
          <w:tcPr>
            <w:tcW w:w="1092" w:type="dxa"/>
            <w:tcBorders>
              <w:top w:val="nil"/>
              <w:left w:val="nil"/>
              <w:bottom w:val="single" w:sz="4" w:space="0" w:color="auto"/>
              <w:right w:val="nil"/>
            </w:tcBorders>
            <w:shd w:val="clear" w:color="auto" w:fill="auto"/>
            <w:noWrap/>
            <w:vAlign w:val="center"/>
            <w:hideMark/>
          </w:tcPr>
          <w:p w14:paraId="2E88F15A" w14:textId="77777777" w:rsidR="00A7333C" w:rsidRPr="00F56173" w:rsidRDefault="00A7333C" w:rsidP="000546A7">
            <w:pPr>
              <w:spacing w:after="0" w:line="240" w:lineRule="auto"/>
              <w:ind w:right="0"/>
              <w:jc w:val="center"/>
              <w:rPr>
                <w:rFonts w:cs="Times New Roman"/>
                <w:color w:val="000000"/>
                <w:szCs w:val="21"/>
              </w:rPr>
            </w:pPr>
            <w:r w:rsidRPr="00F56173">
              <w:rPr>
                <w:rFonts w:cs="Times New Roman"/>
                <w:color w:val="000000"/>
                <w:szCs w:val="21"/>
              </w:rPr>
              <w:t>2019/7</w:t>
            </w:r>
          </w:p>
        </w:tc>
        <w:tc>
          <w:tcPr>
            <w:tcW w:w="1514" w:type="dxa"/>
            <w:tcBorders>
              <w:top w:val="nil"/>
              <w:left w:val="nil"/>
              <w:bottom w:val="single" w:sz="4" w:space="0" w:color="auto"/>
              <w:right w:val="nil"/>
            </w:tcBorders>
            <w:shd w:val="clear" w:color="auto" w:fill="auto"/>
            <w:vAlign w:val="center"/>
            <w:hideMark/>
          </w:tcPr>
          <w:p w14:paraId="569FDEE3"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国务院</w:t>
            </w:r>
          </w:p>
        </w:tc>
        <w:tc>
          <w:tcPr>
            <w:tcW w:w="6662" w:type="dxa"/>
            <w:tcBorders>
              <w:top w:val="nil"/>
              <w:left w:val="nil"/>
              <w:bottom w:val="single" w:sz="4" w:space="0" w:color="auto"/>
              <w:right w:val="nil"/>
            </w:tcBorders>
            <w:shd w:val="clear" w:color="auto" w:fill="auto"/>
            <w:noWrap/>
            <w:vAlign w:val="center"/>
            <w:hideMark/>
          </w:tcPr>
          <w:p w14:paraId="4E369876"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color w:val="000000"/>
                <w:szCs w:val="21"/>
              </w:rPr>
              <w:t>鼓励把社区医疗、养老、家政纳入老旧小区改造范围，</w:t>
            </w:r>
            <w:r w:rsidRPr="00F56173">
              <w:rPr>
                <w:rFonts w:ascii="楷体" w:hAnsi="楷体" w:cs="Times New Roman" w:hint="eastAsia"/>
                <w:b/>
                <w:bCs/>
                <w:color w:val="000000"/>
                <w:szCs w:val="21"/>
              </w:rPr>
              <w:t>给予财税支持</w:t>
            </w:r>
            <w:r w:rsidRPr="00F56173">
              <w:rPr>
                <w:rFonts w:ascii="楷体" w:hAnsi="楷体" w:cs="Times New Roman" w:hint="eastAsia"/>
                <w:color w:val="000000"/>
                <w:szCs w:val="21"/>
              </w:rPr>
              <w:t>。</w:t>
            </w:r>
          </w:p>
        </w:tc>
      </w:tr>
      <w:tr w:rsidR="00A7333C" w:rsidRPr="00F56173" w14:paraId="53F93D69" w14:textId="77777777" w:rsidTr="000546A7">
        <w:trPr>
          <w:trHeight w:val="520"/>
        </w:trPr>
        <w:tc>
          <w:tcPr>
            <w:tcW w:w="938" w:type="dxa"/>
            <w:vMerge/>
            <w:tcBorders>
              <w:top w:val="nil"/>
              <w:left w:val="nil"/>
              <w:bottom w:val="single" w:sz="4" w:space="0" w:color="000000"/>
              <w:right w:val="nil"/>
            </w:tcBorders>
            <w:vAlign w:val="center"/>
            <w:hideMark/>
          </w:tcPr>
          <w:p w14:paraId="1A7F48B5" w14:textId="77777777" w:rsidR="00A7333C" w:rsidRPr="00F56173" w:rsidRDefault="00A7333C" w:rsidP="000546A7">
            <w:pPr>
              <w:spacing w:after="0" w:line="240" w:lineRule="auto"/>
              <w:ind w:right="0"/>
              <w:jc w:val="left"/>
              <w:rPr>
                <w:rFonts w:ascii="楷体" w:hAnsi="楷体" w:cs="宋体"/>
                <w:color w:val="000000"/>
                <w:szCs w:val="21"/>
              </w:rPr>
            </w:pPr>
          </w:p>
        </w:tc>
        <w:tc>
          <w:tcPr>
            <w:tcW w:w="1092" w:type="dxa"/>
            <w:tcBorders>
              <w:top w:val="nil"/>
              <w:left w:val="nil"/>
              <w:bottom w:val="single" w:sz="4" w:space="0" w:color="auto"/>
              <w:right w:val="nil"/>
            </w:tcBorders>
            <w:shd w:val="clear" w:color="auto" w:fill="auto"/>
            <w:noWrap/>
            <w:vAlign w:val="center"/>
            <w:hideMark/>
          </w:tcPr>
          <w:p w14:paraId="201507AC" w14:textId="77777777" w:rsidR="00A7333C" w:rsidRPr="00F56173" w:rsidRDefault="00A7333C" w:rsidP="000546A7">
            <w:pPr>
              <w:spacing w:after="0" w:line="240" w:lineRule="auto"/>
              <w:ind w:right="0"/>
              <w:jc w:val="center"/>
              <w:rPr>
                <w:rFonts w:cs="Times New Roman"/>
                <w:color w:val="000000"/>
                <w:szCs w:val="21"/>
              </w:rPr>
            </w:pPr>
            <w:r w:rsidRPr="00F56173">
              <w:rPr>
                <w:rFonts w:cs="Times New Roman"/>
                <w:color w:val="000000"/>
                <w:szCs w:val="21"/>
              </w:rPr>
              <w:t>2019/9</w:t>
            </w:r>
          </w:p>
        </w:tc>
        <w:tc>
          <w:tcPr>
            <w:tcW w:w="1514" w:type="dxa"/>
            <w:tcBorders>
              <w:top w:val="nil"/>
              <w:left w:val="nil"/>
              <w:bottom w:val="single" w:sz="4" w:space="0" w:color="auto"/>
              <w:right w:val="nil"/>
            </w:tcBorders>
            <w:shd w:val="clear" w:color="auto" w:fill="auto"/>
            <w:vAlign w:val="center"/>
            <w:hideMark/>
          </w:tcPr>
          <w:p w14:paraId="61D402A3"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财政部、住建部</w:t>
            </w:r>
          </w:p>
        </w:tc>
        <w:tc>
          <w:tcPr>
            <w:tcW w:w="6662" w:type="dxa"/>
            <w:tcBorders>
              <w:top w:val="nil"/>
              <w:left w:val="nil"/>
              <w:bottom w:val="single" w:sz="4" w:space="0" w:color="auto"/>
              <w:right w:val="nil"/>
            </w:tcBorders>
            <w:shd w:val="clear" w:color="auto" w:fill="auto"/>
            <w:noWrap/>
            <w:vAlign w:val="center"/>
            <w:hideMark/>
          </w:tcPr>
          <w:p w14:paraId="1D76070D"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b/>
                <w:bCs/>
                <w:color w:val="000000"/>
                <w:szCs w:val="21"/>
              </w:rPr>
              <w:t>专项资金支持范围包括老旧小区改造等</w:t>
            </w:r>
            <w:r w:rsidRPr="00F56173">
              <w:rPr>
                <w:rFonts w:ascii="楷体" w:hAnsi="楷体" w:cs="Times New Roman" w:hint="eastAsia"/>
                <w:color w:val="000000"/>
                <w:szCs w:val="21"/>
              </w:rPr>
              <w:t>。</w:t>
            </w:r>
          </w:p>
        </w:tc>
      </w:tr>
      <w:tr w:rsidR="00A7333C" w:rsidRPr="00F56173" w14:paraId="17F68EF9" w14:textId="77777777" w:rsidTr="000546A7">
        <w:trPr>
          <w:trHeight w:val="520"/>
        </w:trPr>
        <w:tc>
          <w:tcPr>
            <w:tcW w:w="938" w:type="dxa"/>
            <w:vMerge/>
            <w:tcBorders>
              <w:top w:val="nil"/>
              <w:left w:val="nil"/>
              <w:bottom w:val="single" w:sz="4" w:space="0" w:color="000000"/>
              <w:right w:val="nil"/>
            </w:tcBorders>
            <w:vAlign w:val="center"/>
            <w:hideMark/>
          </w:tcPr>
          <w:p w14:paraId="1BB5CE1F" w14:textId="77777777" w:rsidR="00A7333C" w:rsidRPr="00F56173" w:rsidRDefault="00A7333C" w:rsidP="000546A7">
            <w:pPr>
              <w:spacing w:after="0" w:line="240" w:lineRule="auto"/>
              <w:ind w:right="0"/>
              <w:jc w:val="left"/>
              <w:rPr>
                <w:rFonts w:ascii="楷体" w:hAnsi="楷体" w:cs="宋体"/>
                <w:color w:val="000000"/>
                <w:szCs w:val="21"/>
              </w:rPr>
            </w:pPr>
          </w:p>
        </w:tc>
        <w:tc>
          <w:tcPr>
            <w:tcW w:w="1092" w:type="dxa"/>
            <w:tcBorders>
              <w:top w:val="nil"/>
              <w:left w:val="nil"/>
              <w:bottom w:val="single" w:sz="4" w:space="0" w:color="auto"/>
              <w:right w:val="nil"/>
            </w:tcBorders>
            <w:shd w:val="clear" w:color="auto" w:fill="auto"/>
            <w:noWrap/>
            <w:vAlign w:val="center"/>
            <w:hideMark/>
          </w:tcPr>
          <w:p w14:paraId="28B14119" w14:textId="77777777" w:rsidR="00A7333C" w:rsidRPr="00F56173" w:rsidRDefault="00A7333C" w:rsidP="000546A7">
            <w:pPr>
              <w:spacing w:after="0" w:line="240" w:lineRule="auto"/>
              <w:ind w:right="0"/>
              <w:jc w:val="center"/>
              <w:rPr>
                <w:rFonts w:cs="Times New Roman"/>
                <w:color w:val="000000"/>
                <w:szCs w:val="21"/>
              </w:rPr>
            </w:pPr>
            <w:r w:rsidRPr="00F56173">
              <w:rPr>
                <w:rFonts w:cs="Times New Roman"/>
                <w:color w:val="000000"/>
                <w:szCs w:val="21"/>
              </w:rPr>
              <w:t>2019/12</w:t>
            </w:r>
          </w:p>
        </w:tc>
        <w:tc>
          <w:tcPr>
            <w:tcW w:w="1514" w:type="dxa"/>
            <w:tcBorders>
              <w:top w:val="nil"/>
              <w:left w:val="nil"/>
              <w:bottom w:val="single" w:sz="4" w:space="0" w:color="auto"/>
              <w:right w:val="nil"/>
            </w:tcBorders>
            <w:shd w:val="clear" w:color="auto" w:fill="auto"/>
            <w:vAlign w:val="center"/>
            <w:hideMark/>
          </w:tcPr>
          <w:p w14:paraId="331B1AA6"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中央经济工作会议</w:t>
            </w:r>
          </w:p>
        </w:tc>
        <w:tc>
          <w:tcPr>
            <w:tcW w:w="6662" w:type="dxa"/>
            <w:tcBorders>
              <w:top w:val="nil"/>
              <w:left w:val="nil"/>
              <w:bottom w:val="single" w:sz="4" w:space="0" w:color="auto"/>
              <w:right w:val="nil"/>
            </w:tcBorders>
            <w:shd w:val="clear" w:color="auto" w:fill="auto"/>
            <w:noWrap/>
            <w:vAlign w:val="center"/>
            <w:hideMark/>
          </w:tcPr>
          <w:p w14:paraId="31DA1F7B"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color w:val="000000"/>
                <w:szCs w:val="21"/>
              </w:rPr>
              <w:t>要加大城市困难群众住房保障工作，加强城市更新和存量住房改造提升，做好城镇老旧小区改造，大力发展租赁住房。</w:t>
            </w:r>
          </w:p>
        </w:tc>
      </w:tr>
      <w:tr w:rsidR="00A7333C" w:rsidRPr="00F56173" w14:paraId="78858DC1" w14:textId="77777777" w:rsidTr="000546A7">
        <w:trPr>
          <w:trHeight w:val="780"/>
        </w:trPr>
        <w:tc>
          <w:tcPr>
            <w:tcW w:w="938" w:type="dxa"/>
            <w:vMerge/>
            <w:tcBorders>
              <w:top w:val="nil"/>
              <w:left w:val="nil"/>
              <w:bottom w:val="single" w:sz="4" w:space="0" w:color="000000"/>
              <w:right w:val="nil"/>
            </w:tcBorders>
            <w:vAlign w:val="center"/>
            <w:hideMark/>
          </w:tcPr>
          <w:p w14:paraId="68D79F66" w14:textId="77777777" w:rsidR="00A7333C" w:rsidRPr="00F56173" w:rsidRDefault="00A7333C" w:rsidP="000546A7">
            <w:pPr>
              <w:spacing w:after="0" w:line="240" w:lineRule="auto"/>
              <w:ind w:right="0"/>
              <w:jc w:val="left"/>
              <w:rPr>
                <w:rFonts w:ascii="楷体" w:hAnsi="楷体" w:cs="宋体"/>
                <w:color w:val="000000"/>
                <w:szCs w:val="21"/>
              </w:rPr>
            </w:pPr>
          </w:p>
        </w:tc>
        <w:tc>
          <w:tcPr>
            <w:tcW w:w="1092" w:type="dxa"/>
            <w:tcBorders>
              <w:top w:val="nil"/>
              <w:left w:val="nil"/>
              <w:bottom w:val="single" w:sz="4" w:space="0" w:color="auto"/>
              <w:right w:val="nil"/>
            </w:tcBorders>
            <w:shd w:val="clear" w:color="auto" w:fill="auto"/>
            <w:noWrap/>
            <w:vAlign w:val="center"/>
            <w:hideMark/>
          </w:tcPr>
          <w:p w14:paraId="330B0E0E" w14:textId="77777777" w:rsidR="00A7333C" w:rsidRPr="00F56173" w:rsidRDefault="00A7333C" w:rsidP="000546A7">
            <w:pPr>
              <w:spacing w:after="0" w:line="240" w:lineRule="auto"/>
              <w:ind w:right="0"/>
              <w:jc w:val="center"/>
              <w:rPr>
                <w:rFonts w:cs="Times New Roman"/>
                <w:color w:val="000000"/>
                <w:szCs w:val="21"/>
              </w:rPr>
            </w:pPr>
            <w:r w:rsidRPr="00F56173">
              <w:rPr>
                <w:rFonts w:cs="Times New Roman"/>
                <w:color w:val="000000"/>
                <w:szCs w:val="21"/>
              </w:rPr>
              <w:t>2019/12</w:t>
            </w:r>
          </w:p>
        </w:tc>
        <w:tc>
          <w:tcPr>
            <w:tcW w:w="1514" w:type="dxa"/>
            <w:tcBorders>
              <w:top w:val="nil"/>
              <w:left w:val="nil"/>
              <w:bottom w:val="single" w:sz="4" w:space="0" w:color="auto"/>
              <w:right w:val="nil"/>
            </w:tcBorders>
            <w:shd w:val="clear" w:color="auto" w:fill="auto"/>
            <w:vAlign w:val="center"/>
            <w:hideMark/>
          </w:tcPr>
          <w:p w14:paraId="4A270E8B"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全国住房和建设工作会议</w:t>
            </w:r>
          </w:p>
        </w:tc>
        <w:tc>
          <w:tcPr>
            <w:tcW w:w="6662" w:type="dxa"/>
            <w:tcBorders>
              <w:top w:val="nil"/>
              <w:left w:val="nil"/>
              <w:bottom w:val="single" w:sz="4" w:space="0" w:color="auto"/>
              <w:right w:val="nil"/>
            </w:tcBorders>
            <w:shd w:val="clear" w:color="auto" w:fill="auto"/>
            <w:noWrap/>
            <w:vAlign w:val="center"/>
            <w:hideMark/>
          </w:tcPr>
          <w:p w14:paraId="5765D412"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color w:val="000000"/>
                <w:szCs w:val="21"/>
              </w:rPr>
              <w:t>进一步完善支持政策，做好城镇老旧小区改造工作。</w:t>
            </w:r>
          </w:p>
        </w:tc>
      </w:tr>
      <w:tr w:rsidR="00A7333C" w:rsidRPr="00F56173" w14:paraId="67490548" w14:textId="77777777" w:rsidTr="000546A7">
        <w:trPr>
          <w:trHeight w:val="260"/>
        </w:trPr>
        <w:tc>
          <w:tcPr>
            <w:tcW w:w="938" w:type="dxa"/>
            <w:vMerge/>
            <w:tcBorders>
              <w:top w:val="nil"/>
              <w:left w:val="nil"/>
              <w:bottom w:val="single" w:sz="4" w:space="0" w:color="000000"/>
              <w:right w:val="nil"/>
            </w:tcBorders>
            <w:vAlign w:val="center"/>
            <w:hideMark/>
          </w:tcPr>
          <w:p w14:paraId="369C0F70" w14:textId="77777777" w:rsidR="00A7333C" w:rsidRPr="00F56173" w:rsidRDefault="00A7333C" w:rsidP="000546A7">
            <w:pPr>
              <w:spacing w:after="0" w:line="240" w:lineRule="auto"/>
              <w:ind w:right="0"/>
              <w:jc w:val="left"/>
              <w:rPr>
                <w:rFonts w:ascii="楷体" w:hAnsi="楷体" w:cs="宋体"/>
                <w:color w:val="000000"/>
                <w:szCs w:val="21"/>
              </w:rPr>
            </w:pPr>
          </w:p>
        </w:tc>
        <w:tc>
          <w:tcPr>
            <w:tcW w:w="1092" w:type="dxa"/>
            <w:tcBorders>
              <w:top w:val="nil"/>
              <w:left w:val="nil"/>
              <w:bottom w:val="single" w:sz="4" w:space="0" w:color="auto"/>
              <w:right w:val="nil"/>
            </w:tcBorders>
            <w:shd w:val="clear" w:color="auto" w:fill="auto"/>
            <w:noWrap/>
            <w:vAlign w:val="center"/>
            <w:hideMark/>
          </w:tcPr>
          <w:p w14:paraId="1C090BF0" w14:textId="77777777" w:rsidR="00A7333C" w:rsidRPr="00F56173" w:rsidRDefault="00A7333C" w:rsidP="000546A7">
            <w:pPr>
              <w:spacing w:after="0" w:line="240" w:lineRule="auto"/>
              <w:ind w:right="0"/>
              <w:jc w:val="center"/>
              <w:rPr>
                <w:rFonts w:cs="Times New Roman"/>
                <w:color w:val="000000"/>
                <w:szCs w:val="21"/>
              </w:rPr>
            </w:pPr>
            <w:r w:rsidRPr="00F56173">
              <w:rPr>
                <w:rFonts w:cs="Times New Roman"/>
                <w:color w:val="000000"/>
                <w:szCs w:val="21"/>
              </w:rPr>
              <w:t>2020/1</w:t>
            </w:r>
          </w:p>
        </w:tc>
        <w:tc>
          <w:tcPr>
            <w:tcW w:w="1514" w:type="dxa"/>
            <w:tcBorders>
              <w:top w:val="nil"/>
              <w:left w:val="nil"/>
              <w:bottom w:val="single" w:sz="4" w:space="0" w:color="auto"/>
              <w:right w:val="nil"/>
            </w:tcBorders>
            <w:shd w:val="clear" w:color="auto" w:fill="auto"/>
            <w:vAlign w:val="center"/>
            <w:hideMark/>
          </w:tcPr>
          <w:p w14:paraId="221BBE45"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李克强</w:t>
            </w:r>
          </w:p>
        </w:tc>
        <w:tc>
          <w:tcPr>
            <w:tcW w:w="6662" w:type="dxa"/>
            <w:tcBorders>
              <w:top w:val="nil"/>
              <w:left w:val="nil"/>
              <w:bottom w:val="single" w:sz="4" w:space="0" w:color="auto"/>
              <w:right w:val="nil"/>
            </w:tcBorders>
            <w:shd w:val="clear" w:color="auto" w:fill="auto"/>
            <w:noWrap/>
            <w:vAlign w:val="center"/>
            <w:hideMark/>
          </w:tcPr>
          <w:p w14:paraId="1D5F2CDE"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color w:val="000000"/>
                <w:szCs w:val="21"/>
              </w:rPr>
              <w:t>大规模推进老旧小区改造。</w:t>
            </w:r>
          </w:p>
        </w:tc>
      </w:tr>
      <w:tr w:rsidR="00A7333C" w:rsidRPr="00F56173" w14:paraId="3CF423FD" w14:textId="77777777" w:rsidTr="000546A7">
        <w:trPr>
          <w:trHeight w:val="520"/>
        </w:trPr>
        <w:tc>
          <w:tcPr>
            <w:tcW w:w="938" w:type="dxa"/>
            <w:vMerge/>
            <w:tcBorders>
              <w:top w:val="nil"/>
              <w:left w:val="nil"/>
              <w:bottom w:val="single" w:sz="4" w:space="0" w:color="000000"/>
              <w:right w:val="nil"/>
            </w:tcBorders>
            <w:vAlign w:val="center"/>
            <w:hideMark/>
          </w:tcPr>
          <w:p w14:paraId="775C83AE" w14:textId="77777777" w:rsidR="00A7333C" w:rsidRPr="00F56173" w:rsidRDefault="00A7333C" w:rsidP="000546A7">
            <w:pPr>
              <w:spacing w:after="0" w:line="240" w:lineRule="auto"/>
              <w:ind w:right="0"/>
              <w:jc w:val="left"/>
              <w:rPr>
                <w:rFonts w:ascii="楷体" w:hAnsi="楷体" w:cs="宋体"/>
                <w:color w:val="000000"/>
                <w:szCs w:val="21"/>
              </w:rPr>
            </w:pPr>
          </w:p>
        </w:tc>
        <w:tc>
          <w:tcPr>
            <w:tcW w:w="1092" w:type="dxa"/>
            <w:tcBorders>
              <w:top w:val="nil"/>
              <w:left w:val="nil"/>
              <w:bottom w:val="single" w:sz="4" w:space="0" w:color="auto"/>
              <w:right w:val="nil"/>
            </w:tcBorders>
            <w:shd w:val="clear" w:color="auto" w:fill="auto"/>
            <w:noWrap/>
            <w:vAlign w:val="center"/>
            <w:hideMark/>
          </w:tcPr>
          <w:p w14:paraId="333492F6" w14:textId="77777777" w:rsidR="00A7333C" w:rsidRPr="00F56173" w:rsidRDefault="00A7333C" w:rsidP="000546A7">
            <w:pPr>
              <w:spacing w:after="0" w:line="240" w:lineRule="auto"/>
              <w:ind w:right="0"/>
              <w:jc w:val="center"/>
              <w:rPr>
                <w:rFonts w:cs="Times New Roman"/>
                <w:color w:val="000000"/>
                <w:szCs w:val="21"/>
              </w:rPr>
            </w:pPr>
            <w:r w:rsidRPr="00F56173">
              <w:rPr>
                <w:rFonts w:cs="Times New Roman"/>
                <w:color w:val="000000"/>
                <w:szCs w:val="21"/>
              </w:rPr>
              <w:t>2020/4</w:t>
            </w:r>
          </w:p>
        </w:tc>
        <w:tc>
          <w:tcPr>
            <w:tcW w:w="1514" w:type="dxa"/>
            <w:tcBorders>
              <w:top w:val="nil"/>
              <w:left w:val="nil"/>
              <w:bottom w:val="single" w:sz="4" w:space="0" w:color="auto"/>
              <w:right w:val="nil"/>
            </w:tcBorders>
            <w:shd w:val="clear" w:color="auto" w:fill="auto"/>
            <w:vAlign w:val="center"/>
            <w:hideMark/>
          </w:tcPr>
          <w:p w14:paraId="02F6BED0"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住建部电话会议</w:t>
            </w:r>
          </w:p>
        </w:tc>
        <w:tc>
          <w:tcPr>
            <w:tcW w:w="6662" w:type="dxa"/>
            <w:tcBorders>
              <w:top w:val="nil"/>
              <w:left w:val="nil"/>
              <w:bottom w:val="single" w:sz="4" w:space="0" w:color="auto"/>
              <w:right w:val="nil"/>
            </w:tcBorders>
            <w:shd w:val="clear" w:color="auto" w:fill="auto"/>
            <w:noWrap/>
            <w:vAlign w:val="center"/>
            <w:hideMark/>
          </w:tcPr>
          <w:p w14:paraId="4F02E410" w14:textId="77777777" w:rsidR="00A7333C" w:rsidRPr="00F56173" w:rsidRDefault="00A7333C" w:rsidP="000546A7">
            <w:pPr>
              <w:spacing w:after="0" w:line="240" w:lineRule="auto"/>
              <w:ind w:right="0"/>
              <w:jc w:val="left"/>
              <w:rPr>
                <w:rFonts w:cs="Times New Roman"/>
                <w:szCs w:val="21"/>
              </w:rPr>
            </w:pPr>
            <w:r w:rsidRPr="00F56173">
              <w:rPr>
                <w:rFonts w:ascii="楷体" w:hAnsi="楷体" w:cs="Times New Roman" w:hint="eastAsia"/>
                <w:szCs w:val="21"/>
              </w:rPr>
              <w:t>积极扩大住房和城乡建设领域有效投资和消费。抓好棚户区改造、政策性租赁住房建设和城镇老旧小区改造，进一步完善支持政策，加快推进改造项目开工复工。推动住房租赁企业经营模式转变，</w:t>
            </w:r>
            <w:r w:rsidRPr="00F56173">
              <w:rPr>
                <w:rFonts w:ascii="楷体" w:hAnsi="楷体" w:cs="Times New Roman" w:hint="eastAsia"/>
                <w:b/>
                <w:bCs/>
                <w:szCs w:val="21"/>
              </w:rPr>
              <w:t>鼓励房地产开发企业参与老旧小区改造</w:t>
            </w:r>
            <w:r w:rsidRPr="00F56173">
              <w:rPr>
                <w:rFonts w:ascii="楷体" w:hAnsi="楷体" w:cs="Times New Roman" w:hint="eastAsia"/>
                <w:szCs w:val="21"/>
              </w:rPr>
              <w:t>，以及养老、租赁住房建设等，推动物业服务企业大力发展线上线下社区服务业，建设智慧社区。</w:t>
            </w:r>
          </w:p>
        </w:tc>
      </w:tr>
    </w:tbl>
    <w:p w14:paraId="7D157A25" w14:textId="77777777" w:rsidR="00A7333C" w:rsidRPr="00253EA9" w:rsidRDefault="00A7333C" w:rsidP="00A7333C">
      <w:pPr>
        <w:spacing w:before="100"/>
      </w:pPr>
      <w:r>
        <w:rPr>
          <w:rFonts w:cs="Times New Roman"/>
          <w:sz w:val="18"/>
        </w:rPr>
        <w:t>数据来源</w:t>
      </w:r>
      <w:r w:rsidRPr="00EF5C8A">
        <w:rPr>
          <w:rFonts w:cs="Times New Roman"/>
          <w:sz w:val="18"/>
        </w:rPr>
        <w:t>：</w:t>
      </w:r>
      <w:r>
        <w:rPr>
          <w:rFonts w:cs="Times New Roman" w:hint="eastAsia"/>
          <w:sz w:val="18"/>
        </w:rPr>
        <w:t>政府网站</w:t>
      </w:r>
      <w:r>
        <w:rPr>
          <w:rFonts w:cs="Times New Roman"/>
          <w:sz w:val="18"/>
        </w:rPr>
        <w:t>，</w:t>
      </w:r>
      <w:r>
        <w:rPr>
          <w:rFonts w:cs="Times New Roman" w:hint="eastAsia"/>
          <w:sz w:val="18"/>
        </w:rPr>
        <w:t>互联网，</w:t>
      </w:r>
      <w:r w:rsidRPr="00EF5C8A">
        <w:rPr>
          <w:rFonts w:cs="Times New Roman"/>
          <w:sz w:val="18"/>
        </w:rPr>
        <w:t>中</w:t>
      </w:r>
      <w:proofErr w:type="gramStart"/>
      <w:r w:rsidRPr="00EF5C8A">
        <w:rPr>
          <w:rFonts w:cs="Times New Roman"/>
          <w:sz w:val="18"/>
        </w:rPr>
        <w:t>达证券</w:t>
      </w:r>
      <w:proofErr w:type="gramEnd"/>
      <w:r w:rsidRPr="00EF5C8A">
        <w:rPr>
          <w:rFonts w:cs="Times New Roman"/>
          <w:sz w:val="18"/>
        </w:rPr>
        <w:t>研究</w:t>
      </w:r>
    </w:p>
    <w:p w14:paraId="3BFBEA75" w14:textId="03159101" w:rsidR="00A7333C" w:rsidRDefault="00A7333C" w:rsidP="00A7333C"/>
    <w:p w14:paraId="6D68833D" w14:textId="5D7FBDFC" w:rsidR="00A7333C" w:rsidRDefault="00A7333C" w:rsidP="00A7333C"/>
    <w:p w14:paraId="08A86303" w14:textId="77777777" w:rsidR="00A7333C" w:rsidRDefault="00A7333C" w:rsidP="00A7333C"/>
    <w:p w14:paraId="15E39D96" w14:textId="3EEB243C" w:rsidR="00A7333C" w:rsidRPr="005375CD" w:rsidRDefault="00A7333C" w:rsidP="00A7333C">
      <w:r w:rsidRPr="005375CD">
        <w:rPr>
          <w:rFonts w:hint="eastAsia"/>
          <w:b/>
          <w:bCs/>
        </w:rPr>
        <w:lastRenderedPageBreak/>
        <w:t>地方层面，各地针对自身老旧小区存量情况积极推进。</w:t>
      </w:r>
      <w:r>
        <w:rPr>
          <w:rFonts w:hint="eastAsia"/>
        </w:rPr>
        <w:t>响应中央层面的政策号召，</w:t>
      </w:r>
      <w:r w:rsidRPr="003D3787">
        <w:rPr>
          <w:rFonts w:hint="eastAsia"/>
        </w:rPr>
        <w:t>各</w:t>
      </w:r>
      <w:r>
        <w:rPr>
          <w:rFonts w:hint="eastAsia"/>
        </w:rPr>
        <w:t>地</w:t>
      </w:r>
      <w:r w:rsidRPr="003D3787">
        <w:rPr>
          <w:rFonts w:hint="eastAsia"/>
        </w:rPr>
        <w:t>积极出台</w:t>
      </w:r>
      <w:r>
        <w:rPr>
          <w:rFonts w:hint="eastAsia"/>
        </w:rPr>
        <w:t>老旧小区改造相关</w:t>
      </w:r>
      <w:r w:rsidRPr="003D3787">
        <w:rPr>
          <w:rFonts w:hint="eastAsia"/>
        </w:rPr>
        <w:t>政策，</w:t>
      </w:r>
      <w:r>
        <w:rPr>
          <w:rFonts w:hint="eastAsia"/>
        </w:rPr>
        <w:t>根据自身情况设立改造目标，</w:t>
      </w:r>
      <w:r w:rsidRPr="003D3787">
        <w:rPr>
          <w:rFonts w:hint="eastAsia"/>
        </w:rPr>
        <w:t>并给予财政支持，</w:t>
      </w:r>
      <w:r>
        <w:rPr>
          <w:rFonts w:hint="eastAsia"/>
        </w:rPr>
        <w:t>创新融资方式。如山东省</w:t>
      </w:r>
      <w:r>
        <w:rPr>
          <w:rFonts w:hint="eastAsia"/>
        </w:rPr>
        <w:t>2019</w:t>
      </w:r>
      <w:r>
        <w:rPr>
          <w:rFonts w:hint="eastAsia"/>
        </w:rPr>
        <w:t>年针对老旧小区改造安排</w:t>
      </w:r>
      <w:r>
        <w:rPr>
          <w:rFonts w:hint="eastAsia"/>
        </w:rPr>
        <w:t>2.3</w:t>
      </w:r>
      <w:r>
        <w:rPr>
          <w:rFonts w:hint="eastAsia"/>
        </w:rPr>
        <w:t>亿元补助资金，</w:t>
      </w:r>
      <w:r w:rsidRPr="005375CD">
        <w:rPr>
          <w:rFonts w:hint="eastAsia"/>
        </w:rPr>
        <w:t>带动市县财政、水气暖专营公司投入</w:t>
      </w:r>
      <w:r w:rsidRPr="005375CD">
        <w:rPr>
          <w:rFonts w:hint="eastAsia"/>
        </w:rPr>
        <w:t>13</w:t>
      </w:r>
      <w:r w:rsidRPr="005375CD">
        <w:rPr>
          <w:rFonts w:hint="eastAsia"/>
        </w:rPr>
        <w:t>亿元，</w:t>
      </w:r>
      <w:r>
        <w:rPr>
          <w:rFonts w:hint="eastAsia"/>
        </w:rPr>
        <w:t>并</w:t>
      </w:r>
      <w:r w:rsidRPr="005375CD">
        <w:rPr>
          <w:rFonts w:hint="eastAsia"/>
        </w:rPr>
        <w:t>吸引社会资本投入</w:t>
      </w:r>
      <w:r>
        <w:rPr>
          <w:rFonts w:hint="eastAsia"/>
        </w:rPr>
        <w:t>；江苏省多地政府</w:t>
      </w:r>
      <w:r w:rsidRPr="005375CD">
        <w:rPr>
          <w:rFonts w:hint="eastAsia"/>
        </w:rPr>
        <w:t>补贴加装电梯</w:t>
      </w:r>
      <w:r>
        <w:rPr>
          <w:rFonts w:hint="eastAsia"/>
        </w:rPr>
        <w:t>，并</w:t>
      </w:r>
      <w:r w:rsidRPr="005375CD">
        <w:rPr>
          <w:rFonts w:hint="eastAsia"/>
        </w:rPr>
        <w:t>兜底物业弃管小区</w:t>
      </w:r>
      <w:r>
        <w:rPr>
          <w:rFonts w:hint="eastAsia"/>
        </w:rPr>
        <w:t>。随着灵活的地方政策的出台，</w:t>
      </w:r>
      <w:r w:rsidRPr="003D3787">
        <w:rPr>
          <w:rFonts w:hint="eastAsia"/>
        </w:rPr>
        <w:t>老旧小区改造得到稳步推进，</w:t>
      </w:r>
      <w:r>
        <w:rPr>
          <w:rFonts w:hint="eastAsia"/>
        </w:rPr>
        <w:t>已</w:t>
      </w:r>
      <w:r w:rsidRPr="003D3787">
        <w:rPr>
          <w:rFonts w:hint="eastAsia"/>
        </w:rPr>
        <w:t>取得一定成效。</w:t>
      </w:r>
    </w:p>
    <w:p w14:paraId="58214919" w14:textId="5AF1446D" w:rsidR="00A7333C" w:rsidRPr="00F56173" w:rsidRDefault="00A7333C" w:rsidP="00A7333C">
      <w:pPr>
        <w:pStyle w:val="ad"/>
        <w:rPr>
          <w:sz w:val="21"/>
          <w:szCs w:val="21"/>
        </w:rPr>
      </w:pPr>
      <w:r w:rsidRPr="00F56173">
        <w:rPr>
          <w:rFonts w:hint="eastAsia"/>
          <w:sz w:val="21"/>
          <w:szCs w:val="21"/>
        </w:rPr>
        <w:t>表</w:t>
      </w:r>
      <w:r w:rsidRPr="00F56173">
        <w:rPr>
          <w:rFonts w:hint="eastAsia"/>
          <w:sz w:val="21"/>
          <w:szCs w:val="21"/>
        </w:rPr>
        <w:t xml:space="preserve"> </w:t>
      </w:r>
      <w:r w:rsidRPr="00F56173">
        <w:rPr>
          <w:sz w:val="21"/>
          <w:szCs w:val="21"/>
        </w:rPr>
        <w:fldChar w:fldCharType="begin"/>
      </w:r>
      <w:r w:rsidRPr="00F56173">
        <w:rPr>
          <w:sz w:val="21"/>
          <w:szCs w:val="21"/>
        </w:rPr>
        <w:instrText xml:space="preserve"> </w:instrText>
      </w:r>
      <w:r w:rsidRPr="00F56173">
        <w:rPr>
          <w:rFonts w:hint="eastAsia"/>
          <w:sz w:val="21"/>
          <w:szCs w:val="21"/>
        </w:rPr>
        <w:instrText xml:space="preserve">SEQ </w:instrText>
      </w:r>
      <w:r w:rsidRPr="00F56173">
        <w:rPr>
          <w:rFonts w:hint="eastAsia"/>
          <w:sz w:val="21"/>
          <w:szCs w:val="21"/>
        </w:rPr>
        <w:instrText>表</w:instrText>
      </w:r>
      <w:r w:rsidRPr="00F56173">
        <w:rPr>
          <w:rFonts w:hint="eastAsia"/>
          <w:sz w:val="21"/>
          <w:szCs w:val="21"/>
        </w:rPr>
        <w:instrText xml:space="preserve"> \* ARABIC</w:instrText>
      </w:r>
      <w:r w:rsidRPr="00F56173">
        <w:rPr>
          <w:sz w:val="21"/>
          <w:szCs w:val="21"/>
        </w:rPr>
        <w:instrText xml:space="preserve"> </w:instrText>
      </w:r>
      <w:r w:rsidRPr="00F56173">
        <w:rPr>
          <w:sz w:val="21"/>
          <w:szCs w:val="21"/>
        </w:rPr>
        <w:fldChar w:fldCharType="separate"/>
      </w:r>
      <w:r w:rsidR="00DB5785" w:rsidRPr="00F56173">
        <w:rPr>
          <w:noProof/>
          <w:sz w:val="21"/>
          <w:szCs w:val="21"/>
        </w:rPr>
        <w:t>4</w:t>
      </w:r>
      <w:r w:rsidRPr="00F56173">
        <w:rPr>
          <w:sz w:val="21"/>
          <w:szCs w:val="21"/>
        </w:rPr>
        <w:fldChar w:fldCharType="end"/>
      </w:r>
      <w:r w:rsidRPr="00F56173">
        <w:rPr>
          <w:rFonts w:hint="eastAsia"/>
          <w:sz w:val="21"/>
          <w:szCs w:val="21"/>
        </w:rPr>
        <w:t>：多地积极出台政策，推进老旧小区改造，已取得一定成果</w:t>
      </w:r>
    </w:p>
    <w:tbl>
      <w:tblPr>
        <w:tblW w:w="9552" w:type="dxa"/>
        <w:tblLook w:val="04A0" w:firstRow="1" w:lastRow="0" w:firstColumn="1" w:lastColumn="0" w:noHBand="0" w:noVBand="1"/>
      </w:tblPr>
      <w:tblGrid>
        <w:gridCol w:w="1418"/>
        <w:gridCol w:w="8134"/>
      </w:tblGrid>
      <w:tr w:rsidR="00A7333C" w:rsidRPr="00F56173" w14:paraId="0E50DF84" w14:textId="77777777" w:rsidTr="000546A7">
        <w:trPr>
          <w:trHeight w:val="260"/>
        </w:trPr>
        <w:tc>
          <w:tcPr>
            <w:tcW w:w="1418" w:type="dxa"/>
            <w:tcBorders>
              <w:top w:val="single" w:sz="4" w:space="0" w:color="auto"/>
              <w:left w:val="nil"/>
              <w:bottom w:val="single" w:sz="4" w:space="0" w:color="auto"/>
              <w:right w:val="nil"/>
            </w:tcBorders>
            <w:shd w:val="clear" w:color="000000" w:fill="EDEDED"/>
            <w:noWrap/>
            <w:vAlign w:val="center"/>
            <w:hideMark/>
          </w:tcPr>
          <w:p w14:paraId="0FFE3A79" w14:textId="77777777" w:rsidR="00A7333C" w:rsidRPr="00F56173" w:rsidRDefault="00A7333C" w:rsidP="000546A7">
            <w:pPr>
              <w:spacing w:after="0" w:line="240" w:lineRule="auto"/>
              <w:ind w:right="0"/>
              <w:jc w:val="center"/>
              <w:rPr>
                <w:rFonts w:ascii="楷体" w:hAnsi="楷体" w:cs="宋体"/>
                <w:b/>
                <w:bCs/>
                <w:color w:val="000000"/>
                <w:szCs w:val="21"/>
              </w:rPr>
            </w:pPr>
            <w:r w:rsidRPr="00F56173">
              <w:rPr>
                <w:rFonts w:ascii="楷体" w:hAnsi="楷体" w:cs="宋体" w:hint="eastAsia"/>
                <w:b/>
                <w:bCs/>
                <w:color w:val="000000"/>
                <w:szCs w:val="21"/>
              </w:rPr>
              <w:t>省份</w:t>
            </w:r>
          </w:p>
        </w:tc>
        <w:tc>
          <w:tcPr>
            <w:tcW w:w="8134" w:type="dxa"/>
            <w:tcBorders>
              <w:top w:val="single" w:sz="4" w:space="0" w:color="auto"/>
              <w:left w:val="nil"/>
              <w:bottom w:val="single" w:sz="4" w:space="0" w:color="auto"/>
              <w:right w:val="nil"/>
            </w:tcBorders>
            <w:shd w:val="clear" w:color="000000" w:fill="EDEDED"/>
            <w:noWrap/>
            <w:vAlign w:val="center"/>
            <w:hideMark/>
          </w:tcPr>
          <w:p w14:paraId="2715E723" w14:textId="77777777" w:rsidR="00A7333C" w:rsidRPr="00F56173" w:rsidRDefault="00A7333C" w:rsidP="000546A7">
            <w:pPr>
              <w:spacing w:after="0" w:line="240" w:lineRule="auto"/>
              <w:ind w:right="0"/>
              <w:jc w:val="center"/>
              <w:rPr>
                <w:rFonts w:ascii="楷体" w:hAnsi="楷体" w:cs="宋体"/>
                <w:b/>
                <w:bCs/>
                <w:color w:val="000000"/>
                <w:szCs w:val="21"/>
              </w:rPr>
            </w:pPr>
            <w:r w:rsidRPr="00F56173">
              <w:rPr>
                <w:rFonts w:ascii="楷体" w:hAnsi="楷体" w:cs="宋体" w:hint="eastAsia"/>
                <w:b/>
                <w:bCs/>
                <w:color w:val="000000"/>
                <w:szCs w:val="21"/>
              </w:rPr>
              <w:t>政策/成果</w:t>
            </w:r>
          </w:p>
        </w:tc>
      </w:tr>
      <w:tr w:rsidR="00A7333C" w:rsidRPr="00F56173" w14:paraId="4C308BD8" w14:textId="77777777" w:rsidTr="000546A7">
        <w:trPr>
          <w:trHeight w:val="260"/>
        </w:trPr>
        <w:tc>
          <w:tcPr>
            <w:tcW w:w="1418" w:type="dxa"/>
            <w:vMerge w:val="restart"/>
            <w:tcBorders>
              <w:top w:val="nil"/>
              <w:left w:val="nil"/>
              <w:bottom w:val="single" w:sz="4" w:space="0" w:color="000000"/>
              <w:right w:val="nil"/>
            </w:tcBorders>
            <w:shd w:val="clear" w:color="auto" w:fill="auto"/>
            <w:noWrap/>
            <w:vAlign w:val="center"/>
            <w:hideMark/>
          </w:tcPr>
          <w:p w14:paraId="4F9B8E77"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广东</w:t>
            </w:r>
          </w:p>
        </w:tc>
        <w:tc>
          <w:tcPr>
            <w:tcW w:w="8134" w:type="dxa"/>
            <w:tcBorders>
              <w:top w:val="nil"/>
              <w:left w:val="nil"/>
              <w:bottom w:val="single" w:sz="4" w:space="0" w:color="auto"/>
              <w:right w:val="nil"/>
            </w:tcBorders>
            <w:shd w:val="clear" w:color="auto" w:fill="auto"/>
            <w:noWrap/>
            <w:vAlign w:val="center"/>
            <w:hideMark/>
          </w:tcPr>
          <w:p w14:paraId="1DB537F6"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color w:val="000000"/>
                <w:szCs w:val="21"/>
              </w:rPr>
              <w:t>广州明确</w:t>
            </w:r>
            <w:r w:rsidRPr="00F56173">
              <w:rPr>
                <w:rFonts w:cs="Times New Roman"/>
                <w:color w:val="000000"/>
                <w:szCs w:val="21"/>
              </w:rPr>
              <w:t>2018</w:t>
            </w:r>
            <w:r w:rsidRPr="00F56173">
              <w:rPr>
                <w:rFonts w:ascii="楷体" w:hAnsi="楷体" w:cs="Times New Roman" w:hint="eastAsia"/>
                <w:color w:val="000000"/>
                <w:szCs w:val="21"/>
              </w:rPr>
              <w:t>－</w:t>
            </w:r>
            <w:r w:rsidRPr="00F56173">
              <w:rPr>
                <w:rFonts w:cs="Times New Roman"/>
                <w:color w:val="000000"/>
                <w:szCs w:val="21"/>
              </w:rPr>
              <w:t>2020</w:t>
            </w:r>
            <w:r w:rsidRPr="00F56173">
              <w:rPr>
                <w:rFonts w:ascii="楷体" w:hAnsi="楷体" w:cs="Times New Roman" w:hint="eastAsia"/>
                <w:color w:val="000000"/>
                <w:szCs w:val="21"/>
              </w:rPr>
              <w:t>年，推进</w:t>
            </w:r>
            <w:r w:rsidRPr="00F56173">
              <w:rPr>
                <w:rFonts w:cs="Times New Roman"/>
                <w:color w:val="000000"/>
                <w:szCs w:val="21"/>
              </w:rPr>
              <w:t>779</w:t>
            </w:r>
            <w:r w:rsidRPr="00F56173">
              <w:rPr>
                <w:rFonts w:ascii="楷体" w:hAnsi="楷体" w:cs="Times New Roman" w:hint="eastAsia"/>
                <w:color w:val="000000"/>
                <w:szCs w:val="21"/>
              </w:rPr>
              <w:t>个老旧小区</w:t>
            </w:r>
            <w:proofErr w:type="gramStart"/>
            <w:r w:rsidRPr="00F56173">
              <w:rPr>
                <w:rFonts w:ascii="楷体" w:hAnsi="楷体" w:cs="Times New Roman" w:hint="eastAsia"/>
                <w:color w:val="000000"/>
                <w:szCs w:val="21"/>
              </w:rPr>
              <w:t>微改造</w:t>
            </w:r>
            <w:proofErr w:type="gramEnd"/>
            <w:r w:rsidRPr="00F56173">
              <w:rPr>
                <w:rFonts w:ascii="楷体" w:hAnsi="楷体" w:cs="Times New Roman" w:hint="eastAsia"/>
                <w:color w:val="000000"/>
                <w:szCs w:val="21"/>
              </w:rPr>
              <w:t>工作。</w:t>
            </w:r>
          </w:p>
        </w:tc>
      </w:tr>
      <w:tr w:rsidR="00A7333C" w:rsidRPr="00F56173" w14:paraId="2368B6E5" w14:textId="77777777" w:rsidTr="000546A7">
        <w:trPr>
          <w:trHeight w:val="260"/>
        </w:trPr>
        <w:tc>
          <w:tcPr>
            <w:tcW w:w="1418" w:type="dxa"/>
            <w:vMerge/>
            <w:tcBorders>
              <w:top w:val="nil"/>
              <w:left w:val="nil"/>
              <w:bottom w:val="single" w:sz="4" w:space="0" w:color="000000"/>
              <w:right w:val="nil"/>
            </w:tcBorders>
            <w:vAlign w:val="center"/>
            <w:hideMark/>
          </w:tcPr>
          <w:p w14:paraId="7D71AF23" w14:textId="77777777" w:rsidR="00A7333C" w:rsidRPr="00F56173" w:rsidRDefault="00A7333C" w:rsidP="000546A7">
            <w:pPr>
              <w:spacing w:after="0" w:line="240" w:lineRule="auto"/>
              <w:ind w:right="0"/>
              <w:jc w:val="left"/>
              <w:rPr>
                <w:rFonts w:cs="Times New Roman"/>
                <w:color w:val="000000"/>
                <w:szCs w:val="21"/>
              </w:rPr>
            </w:pPr>
          </w:p>
        </w:tc>
        <w:tc>
          <w:tcPr>
            <w:tcW w:w="8134" w:type="dxa"/>
            <w:tcBorders>
              <w:top w:val="nil"/>
              <w:left w:val="nil"/>
              <w:bottom w:val="nil"/>
              <w:right w:val="nil"/>
            </w:tcBorders>
            <w:shd w:val="clear" w:color="auto" w:fill="auto"/>
            <w:noWrap/>
            <w:vAlign w:val="center"/>
            <w:hideMark/>
          </w:tcPr>
          <w:p w14:paraId="0D58D179" w14:textId="77777777" w:rsidR="00A7333C" w:rsidRPr="00F56173" w:rsidRDefault="00A7333C" w:rsidP="000546A7">
            <w:pPr>
              <w:spacing w:after="0" w:line="240" w:lineRule="auto"/>
              <w:ind w:right="0"/>
              <w:jc w:val="left"/>
              <w:rPr>
                <w:rFonts w:cs="Times New Roman"/>
                <w:color w:val="000000"/>
                <w:szCs w:val="21"/>
              </w:rPr>
            </w:pPr>
            <w:r w:rsidRPr="00F56173">
              <w:rPr>
                <w:rFonts w:cs="Times New Roman"/>
                <w:color w:val="000000"/>
                <w:szCs w:val="21"/>
              </w:rPr>
              <w:t>2019</w:t>
            </w:r>
            <w:r w:rsidRPr="00F56173">
              <w:rPr>
                <w:rFonts w:ascii="楷体" w:hAnsi="楷体" w:cs="Times New Roman" w:hint="eastAsia"/>
                <w:color w:val="000000"/>
                <w:szCs w:val="21"/>
              </w:rPr>
              <w:t>年</w:t>
            </w:r>
            <w:r w:rsidRPr="00F56173">
              <w:rPr>
                <w:rFonts w:cs="Times New Roman"/>
                <w:color w:val="000000"/>
                <w:szCs w:val="21"/>
              </w:rPr>
              <w:t>1-10</w:t>
            </w:r>
            <w:r w:rsidRPr="00F56173">
              <w:rPr>
                <w:rFonts w:ascii="楷体" w:hAnsi="楷体" w:cs="Times New Roman" w:hint="eastAsia"/>
                <w:color w:val="000000"/>
                <w:szCs w:val="21"/>
              </w:rPr>
              <w:t>月，全省累计改造小区</w:t>
            </w:r>
            <w:r w:rsidRPr="00F56173">
              <w:rPr>
                <w:rFonts w:cs="Times New Roman"/>
                <w:color w:val="000000"/>
                <w:szCs w:val="21"/>
              </w:rPr>
              <w:t>290</w:t>
            </w:r>
            <w:r w:rsidRPr="00F56173">
              <w:rPr>
                <w:rFonts w:ascii="楷体" w:hAnsi="楷体" w:cs="Times New Roman" w:hint="eastAsia"/>
                <w:color w:val="000000"/>
                <w:szCs w:val="21"/>
              </w:rPr>
              <w:t>个、</w:t>
            </w:r>
            <w:r w:rsidRPr="00F56173">
              <w:rPr>
                <w:rFonts w:cs="Times New Roman"/>
                <w:color w:val="000000"/>
                <w:szCs w:val="21"/>
              </w:rPr>
              <w:t>31.19</w:t>
            </w:r>
            <w:r w:rsidRPr="00F56173">
              <w:rPr>
                <w:rFonts w:ascii="楷体" w:hAnsi="楷体" w:cs="Times New Roman" w:hint="eastAsia"/>
                <w:color w:val="000000"/>
                <w:szCs w:val="21"/>
              </w:rPr>
              <w:t>万户、建筑面积</w:t>
            </w:r>
            <w:r w:rsidRPr="00F56173">
              <w:rPr>
                <w:rFonts w:cs="Times New Roman"/>
                <w:color w:val="000000"/>
                <w:szCs w:val="21"/>
              </w:rPr>
              <w:t>1835</w:t>
            </w:r>
            <w:r w:rsidRPr="00F56173">
              <w:rPr>
                <w:rFonts w:ascii="楷体" w:hAnsi="楷体" w:cs="Times New Roman" w:hint="eastAsia"/>
                <w:color w:val="000000"/>
                <w:szCs w:val="21"/>
              </w:rPr>
              <w:t>万平方米，惠及上百万群众。</w:t>
            </w:r>
          </w:p>
        </w:tc>
      </w:tr>
      <w:tr w:rsidR="00A7333C" w:rsidRPr="00F56173" w14:paraId="58B4808B" w14:textId="77777777" w:rsidTr="000546A7">
        <w:trPr>
          <w:trHeight w:val="260"/>
        </w:trPr>
        <w:tc>
          <w:tcPr>
            <w:tcW w:w="1418" w:type="dxa"/>
            <w:vMerge w:val="restart"/>
            <w:tcBorders>
              <w:top w:val="nil"/>
              <w:left w:val="nil"/>
              <w:bottom w:val="single" w:sz="4" w:space="0" w:color="000000"/>
              <w:right w:val="nil"/>
            </w:tcBorders>
            <w:shd w:val="clear" w:color="auto" w:fill="auto"/>
            <w:vAlign w:val="center"/>
            <w:hideMark/>
          </w:tcPr>
          <w:p w14:paraId="033D41EB"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山东</w:t>
            </w:r>
          </w:p>
        </w:tc>
        <w:tc>
          <w:tcPr>
            <w:tcW w:w="8134" w:type="dxa"/>
            <w:tcBorders>
              <w:top w:val="single" w:sz="4" w:space="0" w:color="auto"/>
              <w:left w:val="nil"/>
              <w:bottom w:val="single" w:sz="4" w:space="0" w:color="auto"/>
              <w:right w:val="nil"/>
            </w:tcBorders>
            <w:shd w:val="clear" w:color="auto" w:fill="auto"/>
            <w:noWrap/>
            <w:vAlign w:val="center"/>
            <w:hideMark/>
          </w:tcPr>
          <w:p w14:paraId="601675DD" w14:textId="77777777" w:rsidR="00A7333C" w:rsidRPr="00F56173" w:rsidRDefault="00A7333C" w:rsidP="000546A7">
            <w:pPr>
              <w:spacing w:after="0" w:line="240" w:lineRule="auto"/>
              <w:ind w:right="0"/>
              <w:jc w:val="left"/>
              <w:rPr>
                <w:rFonts w:cs="Times New Roman"/>
                <w:color w:val="000000"/>
                <w:szCs w:val="21"/>
              </w:rPr>
            </w:pPr>
            <w:r w:rsidRPr="00F56173">
              <w:rPr>
                <w:rFonts w:cs="Times New Roman"/>
                <w:color w:val="000000"/>
                <w:szCs w:val="21"/>
              </w:rPr>
              <w:t>2019</w:t>
            </w:r>
            <w:r w:rsidRPr="00F56173">
              <w:rPr>
                <w:rFonts w:ascii="楷体" w:hAnsi="楷体" w:cs="Times New Roman" w:hint="eastAsia"/>
                <w:color w:val="000000"/>
                <w:szCs w:val="21"/>
              </w:rPr>
              <w:t>年底前，省财政安排老旧小区改造补助资金</w:t>
            </w:r>
            <w:r w:rsidRPr="00F56173">
              <w:rPr>
                <w:rFonts w:cs="Times New Roman"/>
                <w:color w:val="000000"/>
                <w:szCs w:val="21"/>
              </w:rPr>
              <w:t>2.3</w:t>
            </w:r>
            <w:r w:rsidRPr="00F56173">
              <w:rPr>
                <w:rFonts w:ascii="楷体" w:hAnsi="楷体" w:cs="Times New Roman" w:hint="eastAsia"/>
                <w:color w:val="000000"/>
                <w:szCs w:val="21"/>
              </w:rPr>
              <w:t>亿元，带动市县财政、水气暖专营公司投入</w:t>
            </w:r>
            <w:r w:rsidRPr="00F56173">
              <w:rPr>
                <w:rFonts w:cs="Times New Roman"/>
                <w:color w:val="000000"/>
                <w:szCs w:val="21"/>
              </w:rPr>
              <w:t>13</w:t>
            </w:r>
            <w:r w:rsidRPr="00F56173">
              <w:rPr>
                <w:rFonts w:ascii="楷体" w:hAnsi="楷体" w:cs="Times New Roman" w:hint="eastAsia"/>
                <w:color w:val="000000"/>
                <w:szCs w:val="21"/>
              </w:rPr>
              <w:t>亿元，吸引社会资本投入，改造全省老旧小区项目</w:t>
            </w:r>
            <w:r w:rsidRPr="00F56173">
              <w:rPr>
                <w:rFonts w:cs="Times New Roman"/>
                <w:color w:val="000000"/>
                <w:szCs w:val="21"/>
              </w:rPr>
              <w:t>881</w:t>
            </w:r>
            <w:r w:rsidRPr="00F56173">
              <w:rPr>
                <w:rFonts w:ascii="楷体" w:hAnsi="楷体" w:cs="Times New Roman" w:hint="eastAsia"/>
                <w:color w:val="000000"/>
                <w:szCs w:val="21"/>
              </w:rPr>
              <w:t>个，改造面积</w:t>
            </w:r>
            <w:r w:rsidRPr="00F56173">
              <w:rPr>
                <w:rFonts w:cs="Times New Roman"/>
                <w:color w:val="000000"/>
                <w:szCs w:val="21"/>
              </w:rPr>
              <w:t>1711</w:t>
            </w:r>
            <w:r w:rsidRPr="00F56173">
              <w:rPr>
                <w:rFonts w:ascii="楷体" w:hAnsi="楷体" w:cs="Times New Roman" w:hint="eastAsia"/>
                <w:color w:val="000000"/>
                <w:szCs w:val="21"/>
              </w:rPr>
              <w:t>万平方米，惠及</w:t>
            </w:r>
            <w:r w:rsidRPr="00F56173">
              <w:rPr>
                <w:rFonts w:cs="Times New Roman"/>
                <w:color w:val="000000"/>
                <w:szCs w:val="21"/>
              </w:rPr>
              <w:t>20.16</w:t>
            </w:r>
            <w:r w:rsidRPr="00F56173">
              <w:rPr>
                <w:rFonts w:ascii="楷体" w:hAnsi="楷体" w:cs="Times New Roman" w:hint="eastAsia"/>
                <w:color w:val="000000"/>
                <w:szCs w:val="21"/>
              </w:rPr>
              <w:t>万户。</w:t>
            </w:r>
          </w:p>
        </w:tc>
      </w:tr>
      <w:tr w:rsidR="00A7333C" w:rsidRPr="00F56173" w14:paraId="6AA899BB" w14:textId="77777777" w:rsidTr="000546A7">
        <w:trPr>
          <w:trHeight w:val="260"/>
        </w:trPr>
        <w:tc>
          <w:tcPr>
            <w:tcW w:w="1418" w:type="dxa"/>
            <w:vMerge/>
            <w:tcBorders>
              <w:top w:val="nil"/>
              <w:left w:val="nil"/>
              <w:bottom w:val="single" w:sz="4" w:space="0" w:color="000000"/>
              <w:right w:val="nil"/>
            </w:tcBorders>
            <w:vAlign w:val="center"/>
            <w:hideMark/>
          </w:tcPr>
          <w:p w14:paraId="1FB43C80" w14:textId="77777777" w:rsidR="00A7333C" w:rsidRPr="00F56173" w:rsidRDefault="00A7333C" w:rsidP="000546A7">
            <w:pPr>
              <w:spacing w:after="0" w:line="240" w:lineRule="auto"/>
              <w:ind w:right="0"/>
              <w:jc w:val="left"/>
              <w:rPr>
                <w:rFonts w:cs="Times New Roman"/>
                <w:color w:val="000000"/>
                <w:szCs w:val="21"/>
              </w:rPr>
            </w:pPr>
          </w:p>
        </w:tc>
        <w:tc>
          <w:tcPr>
            <w:tcW w:w="8134" w:type="dxa"/>
            <w:tcBorders>
              <w:top w:val="nil"/>
              <w:left w:val="nil"/>
              <w:bottom w:val="single" w:sz="4" w:space="0" w:color="auto"/>
              <w:right w:val="nil"/>
            </w:tcBorders>
            <w:shd w:val="clear" w:color="auto" w:fill="auto"/>
            <w:noWrap/>
            <w:vAlign w:val="center"/>
            <w:hideMark/>
          </w:tcPr>
          <w:p w14:paraId="6081B278"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color w:val="000000"/>
                <w:szCs w:val="21"/>
              </w:rPr>
              <w:t>到</w:t>
            </w:r>
            <w:r w:rsidRPr="00F56173">
              <w:rPr>
                <w:rFonts w:cs="Times New Roman"/>
                <w:color w:val="000000"/>
                <w:szCs w:val="21"/>
              </w:rPr>
              <w:t>“</w:t>
            </w:r>
            <w:r w:rsidRPr="00F56173">
              <w:rPr>
                <w:rFonts w:ascii="楷体" w:hAnsi="楷体" w:cs="Times New Roman" w:hint="eastAsia"/>
                <w:color w:val="000000"/>
                <w:szCs w:val="21"/>
              </w:rPr>
              <w:t>十四五</w:t>
            </w:r>
            <w:r w:rsidRPr="00F56173">
              <w:rPr>
                <w:rFonts w:cs="Times New Roman"/>
                <w:color w:val="000000"/>
                <w:szCs w:val="21"/>
              </w:rPr>
              <w:t>”</w:t>
            </w:r>
            <w:r w:rsidRPr="00F56173">
              <w:rPr>
                <w:rFonts w:ascii="楷体" w:hAnsi="楷体" w:cs="Times New Roman" w:hint="eastAsia"/>
                <w:color w:val="000000"/>
                <w:szCs w:val="21"/>
              </w:rPr>
              <w:t>末，在确保完成</w:t>
            </w:r>
            <w:r w:rsidRPr="00F56173">
              <w:rPr>
                <w:rFonts w:cs="Times New Roman"/>
                <w:color w:val="000000"/>
                <w:szCs w:val="21"/>
              </w:rPr>
              <w:t>2000</w:t>
            </w:r>
            <w:r w:rsidRPr="00F56173">
              <w:rPr>
                <w:rFonts w:ascii="楷体" w:hAnsi="楷体" w:cs="Times New Roman" w:hint="eastAsia"/>
                <w:color w:val="000000"/>
                <w:szCs w:val="21"/>
              </w:rPr>
              <w:t>年前建成的老旧小区改造基础上，山东力争基本完成</w:t>
            </w:r>
            <w:r w:rsidRPr="00F56173">
              <w:rPr>
                <w:rFonts w:cs="Times New Roman"/>
                <w:color w:val="000000"/>
                <w:szCs w:val="21"/>
              </w:rPr>
              <w:t>2005</w:t>
            </w:r>
            <w:r w:rsidRPr="00F56173">
              <w:rPr>
                <w:rFonts w:ascii="楷体" w:hAnsi="楷体" w:cs="Times New Roman" w:hint="eastAsia"/>
                <w:color w:val="000000"/>
                <w:szCs w:val="21"/>
              </w:rPr>
              <w:t>年前建成的老旧小区改造任务。改造后的老旧小区实现物业管理全覆盖。</w:t>
            </w:r>
          </w:p>
        </w:tc>
      </w:tr>
      <w:tr w:rsidR="00A7333C" w:rsidRPr="00F56173" w14:paraId="512567F0" w14:textId="77777777" w:rsidTr="000546A7">
        <w:trPr>
          <w:trHeight w:val="260"/>
        </w:trPr>
        <w:tc>
          <w:tcPr>
            <w:tcW w:w="1418" w:type="dxa"/>
            <w:vMerge w:val="restart"/>
            <w:tcBorders>
              <w:top w:val="nil"/>
              <w:left w:val="nil"/>
              <w:bottom w:val="single" w:sz="4" w:space="0" w:color="000000"/>
              <w:right w:val="nil"/>
            </w:tcBorders>
            <w:shd w:val="clear" w:color="auto" w:fill="auto"/>
            <w:noWrap/>
            <w:vAlign w:val="center"/>
            <w:hideMark/>
          </w:tcPr>
          <w:p w14:paraId="611E899A"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江苏</w:t>
            </w:r>
          </w:p>
        </w:tc>
        <w:tc>
          <w:tcPr>
            <w:tcW w:w="8134" w:type="dxa"/>
            <w:tcBorders>
              <w:top w:val="nil"/>
              <w:left w:val="nil"/>
              <w:bottom w:val="single" w:sz="4" w:space="0" w:color="auto"/>
              <w:right w:val="nil"/>
            </w:tcBorders>
            <w:shd w:val="clear" w:color="auto" w:fill="auto"/>
            <w:noWrap/>
            <w:vAlign w:val="center"/>
            <w:hideMark/>
          </w:tcPr>
          <w:p w14:paraId="6B91BDA6"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color w:val="000000"/>
                <w:szCs w:val="21"/>
              </w:rPr>
              <w:t>多地政府补贴加装电梯；政府兜底物业弃管小区</w:t>
            </w:r>
          </w:p>
        </w:tc>
      </w:tr>
      <w:tr w:rsidR="00A7333C" w:rsidRPr="00F56173" w14:paraId="56368A31" w14:textId="77777777" w:rsidTr="000546A7">
        <w:trPr>
          <w:trHeight w:val="260"/>
        </w:trPr>
        <w:tc>
          <w:tcPr>
            <w:tcW w:w="1418" w:type="dxa"/>
            <w:vMerge/>
            <w:tcBorders>
              <w:top w:val="nil"/>
              <w:left w:val="nil"/>
              <w:bottom w:val="single" w:sz="4" w:space="0" w:color="000000"/>
              <w:right w:val="nil"/>
            </w:tcBorders>
            <w:vAlign w:val="center"/>
            <w:hideMark/>
          </w:tcPr>
          <w:p w14:paraId="23114BEA" w14:textId="77777777" w:rsidR="00A7333C" w:rsidRPr="00F56173" w:rsidRDefault="00A7333C" w:rsidP="000546A7">
            <w:pPr>
              <w:spacing w:after="0" w:line="240" w:lineRule="auto"/>
              <w:ind w:right="0"/>
              <w:jc w:val="left"/>
              <w:rPr>
                <w:rFonts w:cs="Times New Roman"/>
                <w:color w:val="000000"/>
                <w:szCs w:val="21"/>
              </w:rPr>
            </w:pPr>
          </w:p>
        </w:tc>
        <w:tc>
          <w:tcPr>
            <w:tcW w:w="8134" w:type="dxa"/>
            <w:tcBorders>
              <w:top w:val="nil"/>
              <w:left w:val="nil"/>
              <w:bottom w:val="single" w:sz="4" w:space="0" w:color="auto"/>
              <w:right w:val="nil"/>
            </w:tcBorders>
            <w:shd w:val="clear" w:color="auto" w:fill="auto"/>
            <w:noWrap/>
            <w:vAlign w:val="center"/>
            <w:hideMark/>
          </w:tcPr>
          <w:p w14:paraId="699A0ECC" w14:textId="77777777" w:rsidR="00A7333C" w:rsidRPr="00F56173" w:rsidRDefault="00A7333C" w:rsidP="000546A7">
            <w:pPr>
              <w:spacing w:after="0" w:line="240" w:lineRule="auto"/>
              <w:ind w:right="0"/>
              <w:jc w:val="left"/>
              <w:rPr>
                <w:rFonts w:cs="Times New Roman"/>
                <w:color w:val="000000"/>
                <w:szCs w:val="21"/>
              </w:rPr>
            </w:pPr>
            <w:r w:rsidRPr="00F56173">
              <w:rPr>
                <w:rFonts w:cs="Times New Roman"/>
                <w:color w:val="000000"/>
                <w:szCs w:val="21"/>
              </w:rPr>
              <w:t>2019</w:t>
            </w:r>
            <w:r w:rsidRPr="00F56173">
              <w:rPr>
                <w:rFonts w:ascii="楷体" w:hAnsi="楷体" w:cs="Times New Roman" w:hint="eastAsia"/>
                <w:color w:val="000000"/>
                <w:szCs w:val="21"/>
              </w:rPr>
              <w:t>年</w:t>
            </w:r>
            <w:r w:rsidRPr="00F56173">
              <w:rPr>
                <w:rFonts w:cs="Times New Roman"/>
                <w:color w:val="000000"/>
                <w:szCs w:val="21"/>
              </w:rPr>
              <w:t>1-10</w:t>
            </w:r>
            <w:r w:rsidRPr="00F56173">
              <w:rPr>
                <w:rFonts w:ascii="楷体" w:hAnsi="楷体" w:cs="Times New Roman" w:hint="eastAsia"/>
                <w:color w:val="000000"/>
                <w:szCs w:val="21"/>
              </w:rPr>
              <w:t>月，全省已有</w:t>
            </w:r>
            <w:r w:rsidRPr="00F56173">
              <w:rPr>
                <w:rFonts w:cs="Times New Roman"/>
                <w:color w:val="000000"/>
                <w:szCs w:val="21"/>
              </w:rPr>
              <w:t>108</w:t>
            </w:r>
            <w:r w:rsidRPr="00F56173">
              <w:rPr>
                <w:rFonts w:ascii="楷体" w:hAnsi="楷体" w:cs="Times New Roman" w:hint="eastAsia"/>
                <w:color w:val="000000"/>
                <w:szCs w:val="21"/>
              </w:rPr>
              <w:t>个小区基本完成整治、</w:t>
            </w:r>
            <w:r w:rsidRPr="00F56173">
              <w:rPr>
                <w:rFonts w:cs="Times New Roman"/>
                <w:color w:val="000000"/>
                <w:szCs w:val="21"/>
              </w:rPr>
              <w:t>212</w:t>
            </w:r>
            <w:r w:rsidRPr="00F56173">
              <w:rPr>
                <w:rFonts w:ascii="楷体" w:hAnsi="楷体" w:cs="Times New Roman" w:hint="eastAsia"/>
                <w:color w:val="000000"/>
                <w:szCs w:val="21"/>
              </w:rPr>
              <w:t>个正在施工，累计完成投资额约</w:t>
            </w:r>
            <w:r w:rsidRPr="00F56173">
              <w:rPr>
                <w:rFonts w:cs="Times New Roman"/>
                <w:color w:val="000000"/>
                <w:szCs w:val="21"/>
              </w:rPr>
              <w:t>19.5</w:t>
            </w:r>
            <w:r w:rsidRPr="00F56173">
              <w:rPr>
                <w:rFonts w:ascii="楷体" w:hAnsi="楷体" w:cs="Times New Roman" w:hint="eastAsia"/>
                <w:color w:val="000000"/>
                <w:szCs w:val="21"/>
              </w:rPr>
              <w:t>亿元。</w:t>
            </w:r>
          </w:p>
        </w:tc>
      </w:tr>
      <w:tr w:rsidR="00A7333C" w:rsidRPr="00F56173" w14:paraId="04D713A8" w14:textId="77777777" w:rsidTr="000546A7">
        <w:trPr>
          <w:trHeight w:val="260"/>
        </w:trPr>
        <w:tc>
          <w:tcPr>
            <w:tcW w:w="1418" w:type="dxa"/>
            <w:tcBorders>
              <w:top w:val="nil"/>
              <w:left w:val="nil"/>
              <w:bottom w:val="single" w:sz="4" w:space="0" w:color="auto"/>
              <w:right w:val="nil"/>
            </w:tcBorders>
            <w:shd w:val="clear" w:color="auto" w:fill="auto"/>
            <w:vAlign w:val="center"/>
            <w:hideMark/>
          </w:tcPr>
          <w:p w14:paraId="05604ABA" w14:textId="77777777" w:rsidR="00A7333C" w:rsidRPr="00F56173" w:rsidRDefault="00A7333C" w:rsidP="000546A7">
            <w:pPr>
              <w:spacing w:after="0" w:line="240" w:lineRule="auto"/>
              <w:ind w:right="0"/>
              <w:jc w:val="center"/>
              <w:rPr>
                <w:rFonts w:cs="Times New Roman"/>
                <w:color w:val="000000"/>
                <w:szCs w:val="21"/>
              </w:rPr>
            </w:pPr>
            <w:r w:rsidRPr="00F56173">
              <w:rPr>
                <w:rFonts w:ascii="楷体" w:hAnsi="楷体" w:cs="Times New Roman" w:hint="eastAsia"/>
                <w:color w:val="000000"/>
                <w:szCs w:val="21"/>
              </w:rPr>
              <w:t>辽宁</w:t>
            </w:r>
          </w:p>
        </w:tc>
        <w:tc>
          <w:tcPr>
            <w:tcW w:w="8134" w:type="dxa"/>
            <w:tcBorders>
              <w:top w:val="nil"/>
              <w:left w:val="nil"/>
              <w:bottom w:val="single" w:sz="4" w:space="0" w:color="auto"/>
              <w:right w:val="nil"/>
            </w:tcBorders>
            <w:shd w:val="clear" w:color="auto" w:fill="auto"/>
            <w:noWrap/>
            <w:vAlign w:val="center"/>
            <w:hideMark/>
          </w:tcPr>
          <w:p w14:paraId="5A1F7BA3" w14:textId="77777777" w:rsidR="00A7333C" w:rsidRPr="00F56173" w:rsidRDefault="00A7333C" w:rsidP="000546A7">
            <w:pPr>
              <w:spacing w:after="0" w:line="240" w:lineRule="auto"/>
              <w:ind w:right="0"/>
              <w:jc w:val="left"/>
              <w:rPr>
                <w:rFonts w:cs="Times New Roman"/>
                <w:color w:val="000000"/>
                <w:szCs w:val="21"/>
              </w:rPr>
            </w:pPr>
            <w:r w:rsidRPr="00F56173">
              <w:rPr>
                <w:rFonts w:ascii="楷体" w:hAnsi="楷体" w:cs="Times New Roman" w:hint="eastAsia"/>
                <w:color w:val="000000"/>
                <w:szCs w:val="21"/>
              </w:rPr>
              <w:t>推进县城棚户区、老旧小区、危险房屋改造。市场房源充足、库存量大的区域，棚户区改造可继续推行货币化安置，消化库存商品住房。同时，到</w:t>
            </w:r>
            <w:r w:rsidRPr="00F56173">
              <w:rPr>
                <w:rFonts w:cs="Times New Roman"/>
                <w:color w:val="000000"/>
                <w:szCs w:val="21"/>
              </w:rPr>
              <w:t>2020</w:t>
            </w:r>
            <w:r w:rsidRPr="00F56173">
              <w:rPr>
                <w:rFonts w:ascii="楷体" w:hAnsi="楷体" w:cs="Times New Roman" w:hint="eastAsia"/>
                <w:color w:val="000000"/>
                <w:szCs w:val="21"/>
              </w:rPr>
              <w:t>年，各县城、新城新区商品住宅库存去化周期回归到合理区间。</w:t>
            </w:r>
          </w:p>
        </w:tc>
      </w:tr>
    </w:tbl>
    <w:p w14:paraId="4A19B5AC" w14:textId="77777777" w:rsidR="00A7333C" w:rsidRPr="00A8520F" w:rsidRDefault="00A7333C" w:rsidP="00A7333C">
      <w:pPr>
        <w:spacing w:before="100"/>
      </w:pPr>
      <w:r>
        <w:rPr>
          <w:rFonts w:cs="Times New Roman"/>
          <w:sz w:val="18"/>
        </w:rPr>
        <w:t>数据来源</w:t>
      </w:r>
      <w:r w:rsidRPr="00EF5C8A">
        <w:rPr>
          <w:rFonts w:cs="Times New Roman"/>
          <w:sz w:val="18"/>
        </w:rPr>
        <w:t>：</w:t>
      </w:r>
      <w:r>
        <w:rPr>
          <w:rFonts w:cs="Times New Roman" w:hint="eastAsia"/>
          <w:sz w:val="18"/>
        </w:rPr>
        <w:t>政府网站，互联网，</w:t>
      </w:r>
      <w:r w:rsidRPr="00EF5C8A">
        <w:rPr>
          <w:rFonts w:cs="Times New Roman"/>
          <w:sz w:val="18"/>
        </w:rPr>
        <w:t>中</w:t>
      </w:r>
      <w:proofErr w:type="gramStart"/>
      <w:r w:rsidRPr="00EF5C8A">
        <w:rPr>
          <w:rFonts w:cs="Times New Roman"/>
          <w:sz w:val="18"/>
        </w:rPr>
        <w:t>达证券</w:t>
      </w:r>
      <w:proofErr w:type="gramEnd"/>
      <w:r>
        <w:rPr>
          <w:rFonts w:cs="Times New Roman" w:hint="eastAsia"/>
          <w:sz w:val="18"/>
        </w:rPr>
        <w:t>研究</w:t>
      </w:r>
    </w:p>
    <w:p w14:paraId="247F029E" w14:textId="77777777" w:rsidR="00A7333C" w:rsidRPr="00A7333C" w:rsidRDefault="00A7333C" w:rsidP="00064B73"/>
    <w:p w14:paraId="53D4D61A" w14:textId="30E5D94D" w:rsidR="00B60F07" w:rsidRPr="00B60F07" w:rsidRDefault="00715885" w:rsidP="00DE4E46">
      <w:pPr>
        <w:pStyle w:val="2"/>
      </w:pPr>
      <w:r>
        <w:rPr>
          <w:rFonts w:hint="eastAsia"/>
        </w:rPr>
        <w:t>1.3</w:t>
      </w:r>
      <w:r>
        <w:t xml:space="preserve"> </w:t>
      </w:r>
      <w:r w:rsidR="00DE4E46">
        <w:rPr>
          <w:rFonts w:hint="eastAsia"/>
        </w:rPr>
        <w:t>房企如何参与老旧小区改造？</w:t>
      </w:r>
    </w:p>
    <w:p w14:paraId="59E44BA7" w14:textId="3A4EFF62" w:rsidR="00CB4BFC" w:rsidRDefault="00CB4BFC" w:rsidP="00085A12">
      <w:r w:rsidRPr="00CB4BFC">
        <w:rPr>
          <w:rFonts w:hint="eastAsia"/>
          <w:b/>
          <w:bCs/>
        </w:rPr>
        <w:t>房企参与老旧小区改造的模式</w:t>
      </w:r>
      <w:proofErr w:type="gramStart"/>
      <w:r>
        <w:rPr>
          <w:rFonts w:hint="eastAsia"/>
          <w:b/>
          <w:bCs/>
        </w:rPr>
        <w:t>一</w:t>
      </w:r>
      <w:proofErr w:type="gramEnd"/>
      <w:r w:rsidRPr="00CB4BFC">
        <w:rPr>
          <w:rFonts w:hint="eastAsia"/>
          <w:b/>
          <w:bCs/>
        </w:rPr>
        <w:t>：</w:t>
      </w:r>
      <w:bookmarkStart w:id="6" w:name="_Hlk37060859"/>
      <w:r>
        <w:rPr>
          <w:rFonts w:hint="eastAsia"/>
          <w:b/>
          <w:bCs/>
        </w:rPr>
        <w:t>与政府合作，对老旧小区建筑及基础设施进行修缮及改造</w:t>
      </w:r>
      <w:bookmarkEnd w:id="6"/>
      <w:r>
        <w:rPr>
          <w:rFonts w:hint="eastAsia"/>
          <w:b/>
          <w:bCs/>
        </w:rPr>
        <w:t>。</w:t>
      </w:r>
      <w:r w:rsidRPr="00CB4BFC">
        <w:rPr>
          <w:rFonts w:hint="eastAsia"/>
        </w:rPr>
        <w:t>2019</w:t>
      </w:r>
      <w:r w:rsidRPr="00CB4BFC">
        <w:rPr>
          <w:rFonts w:hint="eastAsia"/>
        </w:rPr>
        <w:t>年</w:t>
      </w:r>
      <w:r>
        <w:rPr>
          <w:rFonts w:hint="eastAsia"/>
        </w:rPr>
        <w:t>4</w:t>
      </w:r>
      <w:r>
        <w:rPr>
          <w:rFonts w:hint="eastAsia"/>
        </w:rPr>
        <w:t>月，嘉兴市引入万科、绿城等</w:t>
      </w:r>
      <w:r>
        <w:rPr>
          <w:rFonts w:hint="eastAsia"/>
        </w:rPr>
        <w:t>7</w:t>
      </w:r>
      <w:r>
        <w:rPr>
          <w:rFonts w:hint="eastAsia"/>
        </w:rPr>
        <w:t>家开发商对南湖区老旧小区进行改造，</w:t>
      </w:r>
      <w:r w:rsidR="00782471">
        <w:rPr>
          <w:rFonts w:hint="eastAsia"/>
        </w:rPr>
        <w:t>从前期设计到后期管理监督阶段均赋予开发商以较大发挥空间。</w:t>
      </w:r>
      <w:r>
        <w:rPr>
          <w:rFonts w:hint="eastAsia"/>
        </w:rPr>
        <w:t>2019</w:t>
      </w:r>
      <w:r>
        <w:rPr>
          <w:rFonts w:hint="eastAsia"/>
        </w:rPr>
        <w:t>年</w:t>
      </w:r>
      <w:r w:rsidRPr="00CB4BFC">
        <w:rPr>
          <w:rFonts w:hint="eastAsia"/>
        </w:rPr>
        <w:t>7</w:t>
      </w:r>
      <w:r w:rsidRPr="00CB4BFC">
        <w:rPr>
          <w:rFonts w:hint="eastAsia"/>
        </w:rPr>
        <w:t>月</w:t>
      </w:r>
      <w:r>
        <w:rPr>
          <w:rFonts w:hint="eastAsia"/>
        </w:rPr>
        <w:t>，首开集团与北京市石景山区政府签署老旧小区</w:t>
      </w:r>
      <w:r w:rsidR="00E30C13">
        <w:rPr>
          <w:rFonts w:hint="eastAsia"/>
        </w:rPr>
        <w:t>有机</w:t>
      </w:r>
      <w:r>
        <w:rPr>
          <w:rFonts w:hint="eastAsia"/>
        </w:rPr>
        <w:t>更新和物业服务管理合作协议，</w:t>
      </w:r>
      <w:r w:rsidRPr="00CB4BFC">
        <w:rPr>
          <w:rFonts w:hint="eastAsia"/>
        </w:rPr>
        <w:t>推进老旧小区综合整治</w:t>
      </w:r>
      <w:r>
        <w:rPr>
          <w:rFonts w:hint="eastAsia"/>
        </w:rPr>
        <w:t>及</w:t>
      </w:r>
      <w:r w:rsidRPr="00CB4BFC">
        <w:rPr>
          <w:rFonts w:hint="eastAsia"/>
        </w:rPr>
        <w:t>街区更新发展</w:t>
      </w:r>
      <w:r>
        <w:rPr>
          <w:rFonts w:hint="eastAsia"/>
        </w:rPr>
        <w:t>。</w:t>
      </w:r>
      <w:bookmarkStart w:id="7" w:name="_Hlk37027011"/>
      <w:bookmarkStart w:id="8" w:name="_Hlk37026783"/>
      <w:r w:rsidR="00782471" w:rsidRPr="00782471">
        <w:rPr>
          <w:rFonts w:hint="eastAsia"/>
        </w:rPr>
        <w:t>当前一线城市供地相对较少，旧城区存量住宅较多，参与老旧小区改造能够使开发商积累存量住宅更新经验、培养相应人才团队，为后续发展奠定基础</w:t>
      </w:r>
      <w:bookmarkEnd w:id="7"/>
      <w:r w:rsidR="00782471" w:rsidRPr="00782471">
        <w:rPr>
          <w:rFonts w:hint="eastAsia"/>
        </w:rPr>
        <w:t>。</w:t>
      </w:r>
      <w:bookmarkEnd w:id="8"/>
    </w:p>
    <w:tbl>
      <w:tblPr>
        <w:tblW w:w="10206" w:type="dxa"/>
        <w:tblLayout w:type="fixed"/>
        <w:tblCellMar>
          <w:left w:w="0" w:type="dxa"/>
          <w:right w:w="0" w:type="dxa"/>
        </w:tblCellMar>
        <w:tblLook w:val="04A0" w:firstRow="1" w:lastRow="0" w:firstColumn="1" w:lastColumn="0" w:noHBand="0" w:noVBand="1"/>
      </w:tblPr>
      <w:tblGrid>
        <w:gridCol w:w="4985"/>
        <w:gridCol w:w="236"/>
        <w:gridCol w:w="4985"/>
      </w:tblGrid>
      <w:tr w:rsidR="00782471" w:rsidRPr="00EF5C8A" w14:paraId="6E3DD492" w14:textId="77777777" w:rsidTr="000546A7">
        <w:tc>
          <w:tcPr>
            <w:tcW w:w="4985" w:type="dxa"/>
          </w:tcPr>
          <w:p w14:paraId="5219EACB" w14:textId="04154866" w:rsidR="00782471" w:rsidRPr="00B62FC4" w:rsidRDefault="00782471" w:rsidP="000546A7">
            <w:pPr>
              <w:pStyle w:val="ad"/>
              <w:keepNext/>
              <w:ind w:right="28"/>
              <w:rPr>
                <w:sz w:val="21"/>
                <w:szCs w:val="20"/>
              </w:rPr>
            </w:pPr>
            <w:r w:rsidRPr="00B62FC4">
              <w:rPr>
                <w:rFonts w:hint="eastAsia"/>
                <w:sz w:val="21"/>
                <w:szCs w:val="20"/>
              </w:rPr>
              <w:lastRenderedPageBreak/>
              <w:t>图</w:t>
            </w:r>
            <w:r w:rsidRPr="00B62FC4">
              <w:rPr>
                <w:rFonts w:hint="eastAsia"/>
                <w:sz w:val="21"/>
                <w:szCs w:val="20"/>
              </w:rPr>
              <w:t xml:space="preserve"> </w:t>
            </w:r>
            <w:r w:rsidRPr="00B62FC4">
              <w:rPr>
                <w:sz w:val="21"/>
                <w:szCs w:val="20"/>
              </w:rPr>
              <w:fldChar w:fldCharType="begin"/>
            </w:r>
            <w:r w:rsidRPr="00B62FC4">
              <w:rPr>
                <w:sz w:val="21"/>
                <w:szCs w:val="20"/>
              </w:rPr>
              <w:instrText xml:space="preserve"> </w:instrText>
            </w:r>
            <w:r w:rsidRPr="00B62FC4">
              <w:rPr>
                <w:rFonts w:hint="eastAsia"/>
                <w:sz w:val="21"/>
                <w:szCs w:val="20"/>
              </w:rPr>
              <w:instrText xml:space="preserve">SEQ </w:instrText>
            </w:r>
            <w:r w:rsidRPr="00B62FC4">
              <w:rPr>
                <w:rFonts w:hint="eastAsia"/>
                <w:sz w:val="21"/>
                <w:szCs w:val="20"/>
              </w:rPr>
              <w:instrText>图</w:instrText>
            </w:r>
            <w:r w:rsidRPr="00B62FC4">
              <w:rPr>
                <w:rFonts w:hint="eastAsia"/>
                <w:sz w:val="21"/>
                <w:szCs w:val="20"/>
              </w:rPr>
              <w:instrText xml:space="preserve"> \* ARABIC</w:instrText>
            </w:r>
            <w:r w:rsidRPr="00B62FC4">
              <w:rPr>
                <w:sz w:val="21"/>
                <w:szCs w:val="20"/>
              </w:rPr>
              <w:instrText xml:space="preserve"> </w:instrText>
            </w:r>
            <w:r w:rsidRPr="00B62FC4">
              <w:rPr>
                <w:sz w:val="21"/>
                <w:szCs w:val="20"/>
              </w:rPr>
              <w:fldChar w:fldCharType="separate"/>
            </w:r>
            <w:r w:rsidR="00DB5785">
              <w:rPr>
                <w:noProof/>
                <w:sz w:val="21"/>
                <w:szCs w:val="20"/>
              </w:rPr>
              <w:t>1</w:t>
            </w:r>
            <w:r w:rsidRPr="00B62FC4">
              <w:rPr>
                <w:sz w:val="21"/>
                <w:szCs w:val="20"/>
              </w:rPr>
              <w:fldChar w:fldCharType="end"/>
            </w:r>
            <w:r w:rsidRPr="00B62FC4">
              <w:rPr>
                <w:rFonts w:cs="Times New Roman"/>
                <w:sz w:val="21"/>
                <w:szCs w:val="20"/>
              </w:rPr>
              <w:t>：</w:t>
            </w:r>
            <w:r>
              <w:rPr>
                <w:rFonts w:hint="eastAsia"/>
                <w:sz w:val="21"/>
                <w:szCs w:val="20"/>
              </w:rPr>
              <w:t>嘉兴中兴</w:t>
            </w:r>
            <w:proofErr w:type="gramStart"/>
            <w:r>
              <w:rPr>
                <w:rFonts w:hint="eastAsia"/>
                <w:sz w:val="21"/>
                <w:szCs w:val="20"/>
              </w:rPr>
              <w:t>苑改造</w:t>
            </w:r>
            <w:proofErr w:type="gramEnd"/>
            <w:r>
              <w:rPr>
                <w:rFonts w:hint="eastAsia"/>
                <w:sz w:val="21"/>
                <w:szCs w:val="20"/>
              </w:rPr>
              <w:t>前实景图</w:t>
            </w:r>
          </w:p>
        </w:tc>
        <w:tc>
          <w:tcPr>
            <w:tcW w:w="236" w:type="dxa"/>
          </w:tcPr>
          <w:p w14:paraId="47514DCE" w14:textId="77777777" w:rsidR="00782471" w:rsidRPr="00B62FC4" w:rsidRDefault="00782471" w:rsidP="000546A7">
            <w:pPr>
              <w:spacing w:after="0"/>
              <w:rPr>
                <w:rFonts w:cs="Times New Roman"/>
                <w:b/>
                <w:bCs/>
                <w:color w:val="000000"/>
                <w:szCs w:val="20"/>
              </w:rPr>
            </w:pPr>
          </w:p>
        </w:tc>
        <w:tc>
          <w:tcPr>
            <w:tcW w:w="4985" w:type="dxa"/>
          </w:tcPr>
          <w:p w14:paraId="1522AC6F" w14:textId="5BB91521" w:rsidR="00782471" w:rsidRPr="00B62FC4" w:rsidRDefault="00782471" w:rsidP="000546A7">
            <w:pPr>
              <w:pStyle w:val="ad"/>
              <w:keepNext/>
              <w:ind w:right="0"/>
              <w:rPr>
                <w:sz w:val="21"/>
                <w:szCs w:val="20"/>
              </w:rPr>
            </w:pPr>
            <w:r w:rsidRPr="00B62FC4">
              <w:rPr>
                <w:rFonts w:hint="eastAsia"/>
                <w:sz w:val="21"/>
                <w:szCs w:val="20"/>
              </w:rPr>
              <w:t>图</w:t>
            </w:r>
            <w:r w:rsidRPr="00B62FC4">
              <w:rPr>
                <w:rFonts w:hint="eastAsia"/>
                <w:sz w:val="21"/>
                <w:szCs w:val="20"/>
              </w:rPr>
              <w:t xml:space="preserve"> </w:t>
            </w:r>
            <w:r w:rsidRPr="00B62FC4">
              <w:rPr>
                <w:sz w:val="21"/>
                <w:szCs w:val="20"/>
              </w:rPr>
              <w:fldChar w:fldCharType="begin"/>
            </w:r>
            <w:r w:rsidRPr="00B62FC4">
              <w:rPr>
                <w:sz w:val="21"/>
                <w:szCs w:val="20"/>
              </w:rPr>
              <w:instrText xml:space="preserve"> </w:instrText>
            </w:r>
            <w:r w:rsidRPr="00B62FC4">
              <w:rPr>
                <w:rFonts w:hint="eastAsia"/>
                <w:sz w:val="21"/>
                <w:szCs w:val="20"/>
              </w:rPr>
              <w:instrText xml:space="preserve">SEQ </w:instrText>
            </w:r>
            <w:r w:rsidRPr="00B62FC4">
              <w:rPr>
                <w:rFonts w:hint="eastAsia"/>
                <w:sz w:val="21"/>
                <w:szCs w:val="20"/>
              </w:rPr>
              <w:instrText>图</w:instrText>
            </w:r>
            <w:r w:rsidRPr="00B62FC4">
              <w:rPr>
                <w:rFonts w:hint="eastAsia"/>
                <w:sz w:val="21"/>
                <w:szCs w:val="20"/>
              </w:rPr>
              <w:instrText xml:space="preserve"> \* ARABIC</w:instrText>
            </w:r>
            <w:r w:rsidRPr="00B62FC4">
              <w:rPr>
                <w:sz w:val="21"/>
                <w:szCs w:val="20"/>
              </w:rPr>
              <w:instrText xml:space="preserve"> </w:instrText>
            </w:r>
            <w:r w:rsidRPr="00B62FC4">
              <w:rPr>
                <w:sz w:val="21"/>
                <w:szCs w:val="20"/>
              </w:rPr>
              <w:fldChar w:fldCharType="separate"/>
            </w:r>
            <w:r w:rsidR="00DB5785">
              <w:rPr>
                <w:noProof/>
                <w:sz w:val="21"/>
                <w:szCs w:val="20"/>
              </w:rPr>
              <w:t>2</w:t>
            </w:r>
            <w:r w:rsidRPr="00B62FC4">
              <w:rPr>
                <w:sz w:val="21"/>
                <w:szCs w:val="20"/>
              </w:rPr>
              <w:fldChar w:fldCharType="end"/>
            </w:r>
            <w:r w:rsidRPr="00B62FC4">
              <w:rPr>
                <w:rFonts w:cs="Times New Roman"/>
                <w:sz w:val="21"/>
                <w:szCs w:val="20"/>
              </w:rPr>
              <w:t>：</w:t>
            </w:r>
            <w:r>
              <w:rPr>
                <w:rFonts w:hint="eastAsia"/>
                <w:sz w:val="21"/>
                <w:szCs w:val="20"/>
              </w:rPr>
              <w:t>万科改造中兴苑住宅效果图</w:t>
            </w:r>
          </w:p>
        </w:tc>
      </w:tr>
      <w:tr w:rsidR="00782471" w:rsidRPr="00EF5C8A" w14:paraId="3BDB9C9B" w14:textId="77777777" w:rsidTr="000546A7">
        <w:tblPrEx>
          <w:tblCellMar>
            <w:left w:w="108" w:type="dxa"/>
            <w:right w:w="108" w:type="dxa"/>
          </w:tblCellMar>
        </w:tblPrEx>
        <w:trPr>
          <w:trHeight w:hRule="exact" w:val="2835"/>
        </w:trPr>
        <w:tc>
          <w:tcPr>
            <w:tcW w:w="4985" w:type="dxa"/>
            <w:vAlign w:val="center"/>
          </w:tcPr>
          <w:p w14:paraId="5510D25C" w14:textId="4BE81E6A" w:rsidR="00782471" w:rsidRPr="00EF5C8A" w:rsidRDefault="00782471" w:rsidP="000546A7">
            <w:pPr>
              <w:spacing w:after="0"/>
              <w:ind w:leftChars="-50" w:left="-105" w:right="-226"/>
              <w:rPr>
                <w:rFonts w:cs="Times New Roman"/>
                <w:color w:val="F2F2F2"/>
                <w:sz w:val="16"/>
                <w:szCs w:val="16"/>
              </w:rPr>
            </w:pPr>
            <w:r>
              <w:rPr>
                <w:noProof/>
              </w:rPr>
              <w:drawing>
                <wp:inline distT="0" distB="0" distL="0" distR="0" wp14:anchorId="22E3AF16" wp14:editId="55D09007">
                  <wp:extent cx="3171600" cy="2079918"/>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71600" cy="2079918"/>
                          </a:xfrm>
                          <a:prstGeom prst="rect">
                            <a:avLst/>
                          </a:prstGeom>
                        </pic:spPr>
                      </pic:pic>
                    </a:graphicData>
                  </a:graphic>
                </wp:inline>
              </w:drawing>
            </w:r>
          </w:p>
        </w:tc>
        <w:tc>
          <w:tcPr>
            <w:tcW w:w="236" w:type="dxa"/>
            <w:vAlign w:val="center"/>
          </w:tcPr>
          <w:p w14:paraId="0162EDDD" w14:textId="77777777" w:rsidR="00782471" w:rsidRPr="00EF5C8A" w:rsidRDefault="00782471" w:rsidP="000546A7">
            <w:pPr>
              <w:spacing w:after="0"/>
              <w:rPr>
                <w:rFonts w:cs="Times New Roman"/>
                <w:sz w:val="16"/>
                <w:szCs w:val="16"/>
              </w:rPr>
            </w:pPr>
          </w:p>
        </w:tc>
        <w:tc>
          <w:tcPr>
            <w:tcW w:w="4985" w:type="dxa"/>
            <w:vAlign w:val="center"/>
          </w:tcPr>
          <w:p w14:paraId="4B4BF3FA" w14:textId="5829BA93" w:rsidR="00782471" w:rsidRPr="00EF5C8A" w:rsidRDefault="00782471" w:rsidP="000546A7">
            <w:pPr>
              <w:spacing w:after="0"/>
              <w:ind w:right="0"/>
              <w:rPr>
                <w:rFonts w:cs="Times New Roman"/>
                <w:sz w:val="16"/>
                <w:szCs w:val="16"/>
              </w:rPr>
            </w:pPr>
            <w:r>
              <w:rPr>
                <w:noProof/>
              </w:rPr>
              <w:drawing>
                <wp:inline distT="0" distB="0" distL="0" distR="0" wp14:anchorId="53E7909D" wp14:editId="2D58360D">
                  <wp:extent cx="3214205" cy="1782000"/>
                  <wp:effectExtent l="0" t="0" r="5715" b="889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14205" cy="1782000"/>
                          </a:xfrm>
                          <a:prstGeom prst="rect">
                            <a:avLst/>
                          </a:prstGeom>
                        </pic:spPr>
                      </pic:pic>
                    </a:graphicData>
                  </a:graphic>
                </wp:inline>
              </w:drawing>
            </w:r>
          </w:p>
        </w:tc>
      </w:tr>
      <w:tr w:rsidR="00782471" w:rsidRPr="00EF5C8A" w14:paraId="2853940D" w14:textId="77777777" w:rsidTr="000546A7">
        <w:tc>
          <w:tcPr>
            <w:tcW w:w="4985" w:type="dxa"/>
          </w:tcPr>
          <w:p w14:paraId="7313C2FE" w14:textId="0C9AD1C6" w:rsidR="00782471" w:rsidRPr="00EF5C8A" w:rsidRDefault="00782471" w:rsidP="000546A7">
            <w:pPr>
              <w:spacing w:after="0" w:line="240" w:lineRule="auto"/>
              <w:ind w:right="0"/>
              <w:rPr>
                <w:rFonts w:cs="Times New Roman"/>
                <w:kern w:val="2"/>
                <w:sz w:val="18"/>
                <w:szCs w:val="18"/>
              </w:rPr>
            </w:pPr>
            <w:r>
              <w:rPr>
                <w:rFonts w:cs="Times New Roman"/>
                <w:sz w:val="18"/>
              </w:rPr>
              <w:t>数据来源</w:t>
            </w:r>
            <w:r w:rsidRPr="00EF5C8A">
              <w:rPr>
                <w:rFonts w:cs="Times New Roman"/>
                <w:sz w:val="18"/>
              </w:rPr>
              <w:t>：</w:t>
            </w:r>
            <w:r>
              <w:rPr>
                <w:rFonts w:cs="Times New Roman" w:hint="eastAsia"/>
                <w:sz w:val="18"/>
              </w:rPr>
              <w:t>互联网</w:t>
            </w:r>
            <w:r>
              <w:rPr>
                <w:rFonts w:cs="Times New Roman"/>
                <w:sz w:val="18"/>
              </w:rPr>
              <w:t>，</w:t>
            </w:r>
            <w:r w:rsidRPr="00EF5C8A">
              <w:rPr>
                <w:rFonts w:cs="Times New Roman"/>
                <w:sz w:val="18"/>
              </w:rPr>
              <w:t>中</w:t>
            </w:r>
            <w:proofErr w:type="gramStart"/>
            <w:r w:rsidRPr="00EF5C8A">
              <w:rPr>
                <w:rFonts w:cs="Times New Roman"/>
                <w:sz w:val="18"/>
              </w:rPr>
              <w:t>达证券</w:t>
            </w:r>
            <w:proofErr w:type="gramEnd"/>
            <w:r w:rsidRPr="00EF5C8A">
              <w:rPr>
                <w:rFonts w:cs="Times New Roman"/>
                <w:sz w:val="18"/>
              </w:rPr>
              <w:t>研究</w:t>
            </w:r>
          </w:p>
        </w:tc>
        <w:tc>
          <w:tcPr>
            <w:tcW w:w="236" w:type="dxa"/>
          </w:tcPr>
          <w:p w14:paraId="582C7E90" w14:textId="77777777" w:rsidR="00782471" w:rsidRPr="00EF5C8A" w:rsidRDefault="00782471" w:rsidP="000546A7">
            <w:pPr>
              <w:spacing w:after="0"/>
              <w:rPr>
                <w:rFonts w:cs="Times New Roman"/>
                <w:sz w:val="18"/>
                <w:szCs w:val="18"/>
              </w:rPr>
            </w:pPr>
          </w:p>
        </w:tc>
        <w:tc>
          <w:tcPr>
            <w:tcW w:w="4985" w:type="dxa"/>
          </w:tcPr>
          <w:p w14:paraId="3E00308E" w14:textId="0C50B35E" w:rsidR="00782471" w:rsidRPr="00EF5C8A" w:rsidRDefault="00782471" w:rsidP="000546A7">
            <w:pPr>
              <w:spacing w:after="0" w:line="240" w:lineRule="auto"/>
              <w:ind w:right="0"/>
              <w:rPr>
                <w:rFonts w:cs="Times New Roman"/>
                <w:kern w:val="2"/>
                <w:sz w:val="18"/>
                <w:szCs w:val="18"/>
              </w:rPr>
            </w:pPr>
            <w:r>
              <w:rPr>
                <w:rFonts w:cs="Times New Roman"/>
                <w:sz w:val="18"/>
              </w:rPr>
              <w:t>数据来源</w:t>
            </w:r>
            <w:r w:rsidRPr="00EF5C8A">
              <w:rPr>
                <w:rFonts w:cs="Times New Roman"/>
                <w:sz w:val="18"/>
              </w:rPr>
              <w:t>：</w:t>
            </w:r>
            <w:r>
              <w:rPr>
                <w:rFonts w:cs="Times New Roman" w:hint="eastAsia"/>
                <w:sz w:val="18"/>
              </w:rPr>
              <w:t>互联网</w:t>
            </w:r>
            <w:r>
              <w:rPr>
                <w:rFonts w:cs="Times New Roman"/>
                <w:sz w:val="18"/>
              </w:rPr>
              <w:t>，</w:t>
            </w:r>
            <w:r w:rsidRPr="00EF5C8A">
              <w:rPr>
                <w:rFonts w:cs="Times New Roman"/>
                <w:sz w:val="18"/>
              </w:rPr>
              <w:t>中</w:t>
            </w:r>
            <w:proofErr w:type="gramStart"/>
            <w:r w:rsidRPr="00EF5C8A">
              <w:rPr>
                <w:rFonts w:cs="Times New Roman"/>
                <w:sz w:val="18"/>
              </w:rPr>
              <w:t>达证券</w:t>
            </w:r>
            <w:proofErr w:type="gramEnd"/>
            <w:r w:rsidRPr="00EF5C8A">
              <w:rPr>
                <w:rFonts w:cs="Times New Roman"/>
                <w:sz w:val="18"/>
              </w:rPr>
              <w:t>研究</w:t>
            </w:r>
          </w:p>
        </w:tc>
      </w:tr>
    </w:tbl>
    <w:p w14:paraId="590C90C0" w14:textId="77777777" w:rsidR="00782471" w:rsidRPr="00782471" w:rsidRDefault="00782471" w:rsidP="00085A12">
      <w:pPr>
        <w:rPr>
          <w:b/>
          <w:bCs/>
        </w:rPr>
      </w:pPr>
    </w:p>
    <w:p w14:paraId="63D32617" w14:textId="01CA9A68" w:rsidR="00DE4E46" w:rsidRDefault="00934F3E" w:rsidP="00085A12">
      <w:bookmarkStart w:id="9" w:name="_Hlk37024114"/>
      <w:r w:rsidRPr="00934F3E">
        <w:rPr>
          <w:rFonts w:hint="eastAsia"/>
          <w:b/>
          <w:bCs/>
        </w:rPr>
        <w:t>房企参与老旧小区改造的模式</w:t>
      </w:r>
      <w:r w:rsidR="00CB4BFC">
        <w:rPr>
          <w:rFonts w:hint="eastAsia"/>
          <w:b/>
          <w:bCs/>
        </w:rPr>
        <w:t>二</w:t>
      </w:r>
      <w:r w:rsidRPr="00934F3E">
        <w:rPr>
          <w:rFonts w:hint="eastAsia"/>
          <w:b/>
          <w:bCs/>
        </w:rPr>
        <w:t>：</w:t>
      </w:r>
      <w:bookmarkEnd w:id="9"/>
      <w:r w:rsidR="00D14BAD">
        <w:rPr>
          <w:rFonts w:hint="eastAsia"/>
          <w:b/>
          <w:bCs/>
        </w:rPr>
        <w:t>参与</w:t>
      </w:r>
      <w:r w:rsidR="00D14BAD">
        <w:rPr>
          <w:rFonts w:hint="eastAsia"/>
          <w:b/>
          <w:bCs/>
        </w:rPr>
        <w:t>B</w:t>
      </w:r>
      <w:r w:rsidR="00D14BAD">
        <w:rPr>
          <w:b/>
          <w:bCs/>
        </w:rPr>
        <w:t>OT</w:t>
      </w:r>
      <w:r w:rsidR="00D14BAD">
        <w:rPr>
          <w:rFonts w:hint="eastAsia"/>
          <w:b/>
          <w:bCs/>
        </w:rPr>
        <w:t>项目</w:t>
      </w:r>
      <w:r w:rsidR="00CB4BFC">
        <w:rPr>
          <w:rFonts w:hint="eastAsia"/>
          <w:b/>
          <w:bCs/>
        </w:rPr>
        <w:t>获取运营收入</w:t>
      </w:r>
      <w:r w:rsidRPr="00934F3E">
        <w:rPr>
          <w:rFonts w:hint="eastAsia"/>
          <w:b/>
          <w:bCs/>
        </w:rPr>
        <w:t>。</w:t>
      </w:r>
      <w:r w:rsidR="00D14BAD" w:rsidRPr="00D14BAD">
        <w:rPr>
          <w:rFonts w:hint="eastAsia"/>
        </w:rPr>
        <w:t>2015</w:t>
      </w:r>
      <w:r w:rsidR="00D14BAD" w:rsidRPr="00D14BAD">
        <w:rPr>
          <w:rFonts w:hint="eastAsia"/>
        </w:rPr>
        <w:t>年，</w:t>
      </w:r>
      <w:r w:rsidR="00D14BAD">
        <w:rPr>
          <w:rFonts w:hint="eastAsia"/>
        </w:rPr>
        <w:t>广州荔湾区政府公开招标，通过</w:t>
      </w:r>
      <w:r w:rsidR="00D14BAD">
        <w:rPr>
          <w:rFonts w:hint="eastAsia"/>
        </w:rPr>
        <w:t>B</w:t>
      </w:r>
      <w:r w:rsidR="00D14BAD">
        <w:t>OT</w:t>
      </w:r>
      <w:r w:rsidR="00D14BAD">
        <w:rPr>
          <w:rFonts w:hint="eastAsia"/>
        </w:rPr>
        <w:t>方式引入社会资本进行对老城区的微改造，由企业进行改造、建设及运营，</w:t>
      </w:r>
      <w:r w:rsidR="00D14BAD">
        <w:rPr>
          <w:rFonts w:hint="eastAsia"/>
        </w:rPr>
        <w:t>15</w:t>
      </w:r>
      <w:r w:rsidR="00D14BAD">
        <w:rPr>
          <w:rFonts w:hint="eastAsia"/>
        </w:rPr>
        <w:t>年运营期满后交回政府。</w:t>
      </w:r>
      <w:r>
        <w:rPr>
          <w:rFonts w:hint="eastAsia"/>
        </w:rPr>
        <w:t>万科</w:t>
      </w:r>
      <w:r w:rsidR="00D14BAD">
        <w:rPr>
          <w:rFonts w:hint="eastAsia"/>
        </w:rPr>
        <w:t>中标</w:t>
      </w:r>
      <w:r w:rsidR="004E057F">
        <w:rPr>
          <w:rFonts w:hint="eastAsia"/>
        </w:rPr>
        <w:t>永</w:t>
      </w:r>
      <w:proofErr w:type="gramStart"/>
      <w:r w:rsidR="004E057F">
        <w:rPr>
          <w:rFonts w:hint="eastAsia"/>
        </w:rPr>
        <w:t>庆坊项目</w:t>
      </w:r>
      <w:proofErr w:type="gramEnd"/>
      <w:r w:rsidR="00D14BAD">
        <w:rPr>
          <w:rFonts w:hint="eastAsia"/>
        </w:rPr>
        <w:t>后，于</w:t>
      </w:r>
      <w:r w:rsidR="00D14BAD">
        <w:rPr>
          <w:rFonts w:hint="eastAsia"/>
        </w:rPr>
        <w:t>2015</w:t>
      </w:r>
      <w:r w:rsidR="00D14BAD">
        <w:rPr>
          <w:rFonts w:hint="eastAsia"/>
        </w:rPr>
        <w:t>年</w:t>
      </w:r>
      <w:r w:rsidR="00D14BAD">
        <w:rPr>
          <w:rFonts w:hint="eastAsia"/>
        </w:rPr>
        <w:t>12</w:t>
      </w:r>
      <w:r w:rsidR="00D14BAD">
        <w:rPr>
          <w:rFonts w:hint="eastAsia"/>
        </w:rPr>
        <w:t>月启动改造，</w:t>
      </w:r>
      <w:r w:rsidR="00D14BAD">
        <w:rPr>
          <w:rFonts w:hint="eastAsia"/>
        </w:rPr>
        <w:t>2016</w:t>
      </w:r>
      <w:r w:rsidR="00D14BAD">
        <w:rPr>
          <w:rFonts w:hint="eastAsia"/>
        </w:rPr>
        <w:t>年</w:t>
      </w:r>
      <w:r w:rsidR="00D14BAD">
        <w:rPr>
          <w:rFonts w:hint="eastAsia"/>
        </w:rPr>
        <w:t>9</w:t>
      </w:r>
      <w:r w:rsidR="00D14BAD">
        <w:rPr>
          <w:rFonts w:hint="eastAsia"/>
        </w:rPr>
        <w:t>月完成改造，</w:t>
      </w:r>
      <w:r w:rsidR="004E057F">
        <w:rPr>
          <w:rFonts w:hint="eastAsia"/>
        </w:rPr>
        <w:t>永</w:t>
      </w:r>
      <w:proofErr w:type="gramStart"/>
      <w:r w:rsidR="004E057F">
        <w:rPr>
          <w:rFonts w:hint="eastAsia"/>
        </w:rPr>
        <w:t>庆坊逐渐</w:t>
      </w:r>
      <w:proofErr w:type="gramEnd"/>
      <w:r w:rsidR="004E057F">
        <w:rPr>
          <w:rFonts w:hint="eastAsia"/>
        </w:rPr>
        <w:t>成为新一代</w:t>
      </w:r>
      <w:proofErr w:type="gramStart"/>
      <w:r w:rsidR="004E057F">
        <w:rPr>
          <w:rFonts w:hint="eastAsia"/>
        </w:rPr>
        <w:t>网红打卡</w:t>
      </w:r>
      <w:proofErr w:type="gramEnd"/>
      <w:r w:rsidR="004E057F">
        <w:rPr>
          <w:rFonts w:hint="eastAsia"/>
        </w:rPr>
        <w:t>点</w:t>
      </w:r>
      <w:r w:rsidR="00A815A6">
        <w:rPr>
          <w:rFonts w:hint="eastAsia"/>
        </w:rPr>
        <w:t>，万科可通过运营取得收入。</w:t>
      </w:r>
    </w:p>
    <w:tbl>
      <w:tblPr>
        <w:tblW w:w="10206" w:type="dxa"/>
        <w:tblLayout w:type="fixed"/>
        <w:tblCellMar>
          <w:left w:w="0" w:type="dxa"/>
          <w:right w:w="0" w:type="dxa"/>
        </w:tblCellMar>
        <w:tblLook w:val="04A0" w:firstRow="1" w:lastRow="0" w:firstColumn="1" w:lastColumn="0" w:noHBand="0" w:noVBand="1"/>
      </w:tblPr>
      <w:tblGrid>
        <w:gridCol w:w="4985"/>
        <w:gridCol w:w="236"/>
        <w:gridCol w:w="4985"/>
      </w:tblGrid>
      <w:tr w:rsidR="00A815A6" w:rsidRPr="00EF5C8A" w14:paraId="22C39FE8" w14:textId="77777777" w:rsidTr="00C07316">
        <w:tc>
          <w:tcPr>
            <w:tcW w:w="4985" w:type="dxa"/>
          </w:tcPr>
          <w:p w14:paraId="67634DEC" w14:textId="3ED45369" w:rsidR="00A815A6" w:rsidRPr="00B62FC4" w:rsidRDefault="00A815A6" w:rsidP="00C07316">
            <w:pPr>
              <w:pStyle w:val="ad"/>
              <w:keepNext/>
              <w:ind w:right="28"/>
              <w:rPr>
                <w:sz w:val="21"/>
                <w:szCs w:val="20"/>
              </w:rPr>
            </w:pPr>
            <w:r w:rsidRPr="00B62FC4">
              <w:rPr>
                <w:rFonts w:hint="eastAsia"/>
                <w:sz w:val="21"/>
                <w:szCs w:val="20"/>
              </w:rPr>
              <w:t>图</w:t>
            </w:r>
            <w:r w:rsidRPr="00B62FC4">
              <w:rPr>
                <w:rFonts w:hint="eastAsia"/>
                <w:sz w:val="21"/>
                <w:szCs w:val="20"/>
              </w:rPr>
              <w:t xml:space="preserve"> </w:t>
            </w:r>
            <w:r w:rsidRPr="00B62FC4">
              <w:rPr>
                <w:sz w:val="21"/>
                <w:szCs w:val="20"/>
              </w:rPr>
              <w:fldChar w:fldCharType="begin"/>
            </w:r>
            <w:r w:rsidRPr="00B62FC4">
              <w:rPr>
                <w:sz w:val="21"/>
                <w:szCs w:val="20"/>
              </w:rPr>
              <w:instrText xml:space="preserve"> </w:instrText>
            </w:r>
            <w:r w:rsidRPr="00B62FC4">
              <w:rPr>
                <w:rFonts w:hint="eastAsia"/>
                <w:sz w:val="21"/>
                <w:szCs w:val="20"/>
              </w:rPr>
              <w:instrText xml:space="preserve">SEQ </w:instrText>
            </w:r>
            <w:r w:rsidRPr="00B62FC4">
              <w:rPr>
                <w:rFonts w:hint="eastAsia"/>
                <w:sz w:val="21"/>
                <w:szCs w:val="20"/>
              </w:rPr>
              <w:instrText>图</w:instrText>
            </w:r>
            <w:r w:rsidRPr="00B62FC4">
              <w:rPr>
                <w:rFonts w:hint="eastAsia"/>
                <w:sz w:val="21"/>
                <w:szCs w:val="20"/>
              </w:rPr>
              <w:instrText xml:space="preserve"> \* ARABIC</w:instrText>
            </w:r>
            <w:r w:rsidRPr="00B62FC4">
              <w:rPr>
                <w:sz w:val="21"/>
                <w:szCs w:val="20"/>
              </w:rPr>
              <w:instrText xml:space="preserve"> </w:instrText>
            </w:r>
            <w:r w:rsidRPr="00B62FC4">
              <w:rPr>
                <w:sz w:val="21"/>
                <w:szCs w:val="20"/>
              </w:rPr>
              <w:fldChar w:fldCharType="separate"/>
            </w:r>
            <w:r w:rsidR="00DB5785">
              <w:rPr>
                <w:noProof/>
                <w:sz w:val="21"/>
                <w:szCs w:val="20"/>
              </w:rPr>
              <w:t>3</w:t>
            </w:r>
            <w:r w:rsidRPr="00B62FC4">
              <w:rPr>
                <w:sz w:val="21"/>
                <w:szCs w:val="20"/>
              </w:rPr>
              <w:fldChar w:fldCharType="end"/>
            </w:r>
            <w:r w:rsidRPr="00B62FC4">
              <w:rPr>
                <w:rFonts w:cs="Times New Roman"/>
                <w:sz w:val="21"/>
                <w:szCs w:val="20"/>
              </w:rPr>
              <w:t>：</w:t>
            </w:r>
            <w:r>
              <w:rPr>
                <w:rFonts w:hint="eastAsia"/>
                <w:sz w:val="21"/>
                <w:szCs w:val="20"/>
              </w:rPr>
              <w:t>永庆片区改造前严重损害房屋较多</w:t>
            </w:r>
          </w:p>
        </w:tc>
        <w:tc>
          <w:tcPr>
            <w:tcW w:w="236" w:type="dxa"/>
          </w:tcPr>
          <w:p w14:paraId="67B153CA" w14:textId="77777777" w:rsidR="00A815A6" w:rsidRPr="00B62FC4" w:rsidRDefault="00A815A6" w:rsidP="00C07316">
            <w:pPr>
              <w:spacing w:after="0"/>
              <w:rPr>
                <w:rFonts w:cs="Times New Roman"/>
                <w:b/>
                <w:bCs/>
                <w:color w:val="000000"/>
                <w:szCs w:val="20"/>
              </w:rPr>
            </w:pPr>
          </w:p>
        </w:tc>
        <w:tc>
          <w:tcPr>
            <w:tcW w:w="4985" w:type="dxa"/>
          </w:tcPr>
          <w:p w14:paraId="18E84C4B" w14:textId="45820CD1" w:rsidR="00A815A6" w:rsidRPr="00B62FC4" w:rsidRDefault="00A815A6" w:rsidP="00C07316">
            <w:pPr>
              <w:pStyle w:val="ad"/>
              <w:keepNext/>
              <w:ind w:right="0"/>
              <w:rPr>
                <w:sz w:val="21"/>
                <w:szCs w:val="20"/>
              </w:rPr>
            </w:pPr>
            <w:r w:rsidRPr="00B62FC4">
              <w:rPr>
                <w:rFonts w:hint="eastAsia"/>
                <w:sz w:val="21"/>
                <w:szCs w:val="20"/>
              </w:rPr>
              <w:t>图</w:t>
            </w:r>
            <w:r w:rsidRPr="00B62FC4">
              <w:rPr>
                <w:rFonts w:hint="eastAsia"/>
                <w:sz w:val="21"/>
                <w:szCs w:val="20"/>
              </w:rPr>
              <w:t xml:space="preserve"> </w:t>
            </w:r>
            <w:r w:rsidRPr="00B62FC4">
              <w:rPr>
                <w:sz w:val="21"/>
                <w:szCs w:val="20"/>
              </w:rPr>
              <w:fldChar w:fldCharType="begin"/>
            </w:r>
            <w:r w:rsidRPr="00B62FC4">
              <w:rPr>
                <w:sz w:val="21"/>
                <w:szCs w:val="20"/>
              </w:rPr>
              <w:instrText xml:space="preserve"> </w:instrText>
            </w:r>
            <w:r w:rsidRPr="00B62FC4">
              <w:rPr>
                <w:rFonts w:hint="eastAsia"/>
                <w:sz w:val="21"/>
                <w:szCs w:val="20"/>
              </w:rPr>
              <w:instrText xml:space="preserve">SEQ </w:instrText>
            </w:r>
            <w:r w:rsidRPr="00B62FC4">
              <w:rPr>
                <w:rFonts w:hint="eastAsia"/>
                <w:sz w:val="21"/>
                <w:szCs w:val="20"/>
              </w:rPr>
              <w:instrText>图</w:instrText>
            </w:r>
            <w:r w:rsidRPr="00B62FC4">
              <w:rPr>
                <w:rFonts w:hint="eastAsia"/>
                <w:sz w:val="21"/>
                <w:szCs w:val="20"/>
              </w:rPr>
              <w:instrText xml:space="preserve"> \* ARABIC</w:instrText>
            </w:r>
            <w:r w:rsidRPr="00B62FC4">
              <w:rPr>
                <w:sz w:val="21"/>
                <w:szCs w:val="20"/>
              </w:rPr>
              <w:instrText xml:space="preserve"> </w:instrText>
            </w:r>
            <w:r w:rsidRPr="00B62FC4">
              <w:rPr>
                <w:sz w:val="21"/>
                <w:szCs w:val="20"/>
              </w:rPr>
              <w:fldChar w:fldCharType="separate"/>
            </w:r>
            <w:r w:rsidR="00DB5785">
              <w:rPr>
                <w:noProof/>
                <w:sz w:val="21"/>
                <w:szCs w:val="20"/>
              </w:rPr>
              <w:t>4</w:t>
            </w:r>
            <w:r w:rsidRPr="00B62FC4">
              <w:rPr>
                <w:sz w:val="21"/>
                <w:szCs w:val="20"/>
              </w:rPr>
              <w:fldChar w:fldCharType="end"/>
            </w:r>
            <w:r w:rsidRPr="00B62FC4">
              <w:rPr>
                <w:rFonts w:cs="Times New Roman"/>
                <w:sz w:val="21"/>
                <w:szCs w:val="20"/>
              </w:rPr>
              <w:t>：</w:t>
            </w:r>
            <w:r>
              <w:rPr>
                <w:rFonts w:hint="eastAsia"/>
                <w:sz w:val="21"/>
                <w:szCs w:val="20"/>
              </w:rPr>
              <w:t>万科保留原有建筑风貌进行</w:t>
            </w:r>
            <w:proofErr w:type="gramStart"/>
            <w:r>
              <w:rPr>
                <w:rFonts w:hint="eastAsia"/>
                <w:sz w:val="21"/>
                <w:szCs w:val="20"/>
              </w:rPr>
              <w:t>微改造</w:t>
            </w:r>
            <w:proofErr w:type="gramEnd"/>
          </w:p>
        </w:tc>
      </w:tr>
      <w:tr w:rsidR="00A815A6" w:rsidRPr="00EF5C8A" w14:paraId="1C0FFF33" w14:textId="77777777" w:rsidTr="00C07316">
        <w:tblPrEx>
          <w:tblCellMar>
            <w:left w:w="108" w:type="dxa"/>
            <w:right w:w="108" w:type="dxa"/>
          </w:tblCellMar>
        </w:tblPrEx>
        <w:trPr>
          <w:trHeight w:hRule="exact" w:val="2835"/>
        </w:trPr>
        <w:tc>
          <w:tcPr>
            <w:tcW w:w="4985" w:type="dxa"/>
            <w:vAlign w:val="center"/>
          </w:tcPr>
          <w:p w14:paraId="45DA45C5" w14:textId="7C20833F" w:rsidR="00A815A6" w:rsidRPr="00EF5C8A" w:rsidRDefault="00A815A6" w:rsidP="00C07316">
            <w:pPr>
              <w:spacing w:after="0"/>
              <w:ind w:leftChars="-50" w:left="-105" w:right="-226"/>
              <w:rPr>
                <w:rFonts w:cs="Times New Roman"/>
                <w:color w:val="F2F2F2"/>
                <w:sz w:val="16"/>
                <w:szCs w:val="16"/>
              </w:rPr>
            </w:pPr>
            <w:r>
              <w:rPr>
                <w:noProof/>
              </w:rPr>
              <w:drawing>
                <wp:inline distT="0" distB="0" distL="0" distR="0" wp14:anchorId="06580E16" wp14:editId="1E7231E7">
                  <wp:extent cx="3171600" cy="2113158"/>
                  <wp:effectExtent l="0" t="0" r="0" b="190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71600" cy="2113158"/>
                          </a:xfrm>
                          <a:prstGeom prst="rect">
                            <a:avLst/>
                          </a:prstGeom>
                        </pic:spPr>
                      </pic:pic>
                    </a:graphicData>
                  </a:graphic>
                </wp:inline>
              </w:drawing>
            </w:r>
          </w:p>
        </w:tc>
        <w:tc>
          <w:tcPr>
            <w:tcW w:w="236" w:type="dxa"/>
            <w:vAlign w:val="center"/>
          </w:tcPr>
          <w:p w14:paraId="61B38323" w14:textId="77777777" w:rsidR="00A815A6" w:rsidRPr="00EF5C8A" w:rsidRDefault="00A815A6" w:rsidP="00C07316">
            <w:pPr>
              <w:spacing w:after="0"/>
              <w:rPr>
                <w:rFonts w:cs="Times New Roman"/>
                <w:sz w:val="16"/>
                <w:szCs w:val="16"/>
              </w:rPr>
            </w:pPr>
          </w:p>
        </w:tc>
        <w:tc>
          <w:tcPr>
            <w:tcW w:w="4985" w:type="dxa"/>
            <w:vAlign w:val="center"/>
          </w:tcPr>
          <w:p w14:paraId="3EBAB71F" w14:textId="649172ED" w:rsidR="00A815A6" w:rsidRPr="00EF5C8A" w:rsidRDefault="00A815A6" w:rsidP="00C07316">
            <w:pPr>
              <w:spacing w:after="0"/>
              <w:ind w:right="0"/>
              <w:rPr>
                <w:rFonts w:cs="Times New Roman"/>
                <w:sz w:val="16"/>
                <w:szCs w:val="16"/>
              </w:rPr>
            </w:pPr>
            <w:r>
              <w:rPr>
                <w:noProof/>
              </w:rPr>
              <w:drawing>
                <wp:inline distT="0" distB="0" distL="0" distR="0" wp14:anchorId="3AF2DCC4" wp14:editId="54C10D67">
                  <wp:extent cx="3171600" cy="1810253"/>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71600" cy="1810253"/>
                          </a:xfrm>
                          <a:prstGeom prst="rect">
                            <a:avLst/>
                          </a:prstGeom>
                        </pic:spPr>
                      </pic:pic>
                    </a:graphicData>
                  </a:graphic>
                </wp:inline>
              </w:drawing>
            </w:r>
          </w:p>
        </w:tc>
      </w:tr>
      <w:tr w:rsidR="00A815A6" w:rsidRPr="00EF5C8A" w14:paraId="79F92903" w14:textId="77777777" w:rsidTr="00C07316">
        <w:tc>
          <w:tcPr>
            <w:tcW w:w="4985" w:type="dxa"/>
          </w:tcPr>
          <w:p w14:paraId="2CBE0053" w14:textId="6217E53E" w:rsidR="00A815A6" w:rsidRPr="00EF5C8A" w:rsidRDefault="00A815A6" w:rsidP="00C07316">
            <w:pPr>
              <w:spacing w:after="0" w:line="240" w:lineRule="auto"/>
              <w:ind w:right="0"/>
              <w:rPr>
                <w:rFonts w:cs="Times New Roman"/>
                <w:kern w:val="2"/>
                <w:sz w:val="18"/>
                <w:szCs w:val="18"/>
              </w:rPr>
            </w:pPr>
            <w:r>
              <w:rPr>
                <w:rFonts w:cs="Times New Roman"/>
                <w:sz w:val="18"/>
              </w:rPr>
              <w:t>数据来源</w:t>
            </w:r>
            <w:r w:rsidRPr="00EF5C8A">
              <w:rPr>
                <w:rFonts w:cs="Times New Roman"/>
                <w:sz w:val="18"/>
              </w:rPr>
              <w:t>：</w:t>
            </w:r>
            <w:r>
              <w:rPr>
                <w:rFonts w:cs="Times New Roman" w:hint="eastAsia"/>
                <w:sz w:val="18"/>
              </w:rPr>
              <w:t>广东省自然资源厅</w:t>
            </w:r>
            <w:r>
              <w:rPr>
                <w:rFonts w:cs="Times New Roman"/>
                <w:sz w:val="18"/>
              </w:rPr>
              <w:t>，</w:t>
            </w:r>
            <w:r w:rsidRPr="00EF5C8A">
              <w:rPr>
                <w:rFonts w:cs="Times New Roman"/>
                <w:sz w:val="18"/>
              </w:rPr>
              <w:t>中</w:t>
            </w:r>
            <w:proofErr w:type="gramStart"/>
            <w:r w:rsidRPr="00EF5C8A">
              <w:rPr>
                <w:rFonts w:cs="Times New Roman"/>
                <w:sz w:val="18"/>
              </w:rPr>
              <w:t>达证券</w:t>
            </w:r>
            <w:proofErr w:type="gramEnd"/>
            <w:r w:rsidRPr="00EF5C8A">
              <w:rPr>
                <w:rFonts w:cs="Times New Roman"/>
                <w:sz w:val="18"/>
              </w:rPr>
              <w:t>研究</w:t>
            </w:r>
          </w:p>
        </w:tc>
        <w:tc>
          <w:tcPr>
            <w:tcW w:w="236" w:type="dxa"/>
          </w:tcPr>
          <w:p w14:paraId="101F3DDB" w14:textId="77777777" w:rsidR="00A815A6" w:rsidRPr="00EF5C8A" w:rsidRDefault="00A815A6" w:rsidP="00C07316">
            <w:pPr>
              <w:spacing w:after="0"/>
              <w:rPr>
                <w:rFonts w:cs="Times New Roman"/>
                <w:sz w:val="18"/>
                <w:szCs w:val="18"/>
              </w:rPr>
            </w:pPr>
          </w:p>
        </w:tc>
        <w:tc>
          <w:tcPr>
            <w:tcW w:w="4985" w:type="dxa"/>
          </w:tcPr>
          <w:p w14:paraId="1994BBE6" w14:textId="0369795F" w:rsidR="00A815A6" w:rsidRPr="00EF5C8A" w:rsidRDefault="00A815A6" w:rsidP="00C07316">
            <w:pPr>
              <w:spacing w:after="0" w:line="240" w:lineRule="auto"/>
              <w:ind w:right="0"/>
              <w:rPr>
                <w:rFonts w:cs="Times New Roman"/>
                <w:kern w:val="2"/>
                <w:sz w:val="18"/>
                <w:szCs w:val="18"/>
              </w:rPr>
            </w:pPr>
            <w:r>
              <w:rPr>
                <w:rFonts w:cs="Times New Roman"/>
                <w:sz w:val="18"/>
              </w:rPr>
              <w:t>数据来源</w:t>
            </w:r>
            <w:r w:rsidRPr="00EF5C8A">
              <w:rPr>
                <w:rFonts w:cs="Times New Roman"/>
                <w:sz w:val="18"/>
              </w:rPr>
              <w:t>：</w:t>
            </w:r>
            <w:r>
              <w:rPr>
                <w:rFonts w:cs="Times New Roman" w:hint="eastAsia"/>
                <w:sz w:val="18"/>
              </w:rPr>
              <w:t>广东省自然资源厅</w:t>
            </w:r>
            <w:r>
              <w:rPr>
                <w:rFonts w:cs="Times New Roman"/>
                <w:sz w:val="18"/>
              </w:rPr>
              <w:t>，</w:t>
            </w:r>
            <w:r w:rsidRPr="00EF5C8A">
              <w:rPr>
                <w:rFonts w:cs="Times New Roman"/>
                <w:sz w:val="18"/>
              </w:rPr>
              <w:t>中</w:t>
            </w:r>
            <w:proofErr w:type="gramStart"/>
            <w:r w:rsidRPr="00EF5C8A">
              <w:rPr>
                <w:rFonts w:cs="Times New Roman"/>
                <w:sz w:val="18"/>
              </w:rPr>
              <w:t>达证券</w:t>
            </w:r>
            <w:proofErr w:type="gramEnd"/>
            <w:r w:rsidRPr="00EF5C8A">
              <w:rPr>
                <w:rFonts w:cs="Times New Roman"/>
                <w:sz w:val="18"/>
              </w:rPr>
              <w:t>研究</w:t>
            </w:r>
          </w:p>
        </w:tc>
      </w:tr>
    </w:tbl>
    <w:p w14:paraId="0BECA0FE" w14:textId="77777777" w:rsidR="00A7333C" w:rsidRDefault="00A7333C" w:rsidP="00D93777">
      <w:pPr>
        <w:rPr>
          <w:b/>
          <w:bCs/>
        </w:rPr>
      </w:pPr>
    </w:p>
    <w:p w14:paraId="1070C306" w14:textId="694E4387" w:rsidR="00D93777" w:rsidRDefault="00D93777" w:rsidP="00D93777">
      <w:r>
        <w:rPr>
          <w:rFonts w:hint="eastAsia"/>
          <w:b/>
          <w:bCs/>
        </w:rPr>
        <w:t>房企参与老旧小区</w:t>
      </w:r>
      <w:r w:rsidR="00184B81">
        <w:rPr>
          <w:rFonts w:hint="eastAsia"/>
          <w:b/>
          <w:bCs/>
        </w:rPr>
        <w:t>改造</w:t>
      </w:r>
      <w:r>
        <w:rPr>
          <w:rFonts w:hint="eastAsia"/>
          <w:b/>
          <w:bCs/>
        </w:rPr>
        <w:t>的优势：</w:t>
      </w:r>
      <w:r w:rsidR="00782471">
        <w:rPr>
          <w:rFonts w:hint="eastAsia"/>
          <w:b/>
          <w:bCs/>
        </w:rPr>
        <w:t>建筑设计及产品质量优秀，能够</w:t>
      </w:r>
      <w:r>
        <w:rPr>
          <w:rFonts w:hint="eastAsia"/>
          <w:b/>
          <w:bCs/>
        </w:rPr>
        <w:t>提供部分资金并降低改造成本</w:t>
      </w:r>
      <w:r w:rsidRPr="00B80429">
        <w:rPr>
          <w:rFonts w:hint="eastAsia"/>
          <w:b/>
          <w:bCs/>
        </w:rPr>
        <w:t>。</w:t>
      </w:r>
      <w:r w:rsidRPr="00D93777">
        <w:rPr>
          <w:rFonts w:hint="eastAsia"/>
        </w:rPr>
        <w:t>老旧小区</w:t>
      </w:r>
      <w:r w:rsidR="00782471">
        <w:rPr>
          <w:rFonts w:hint="eastAsia"/>
        </w:rPr>
        <w:t>缺乏配套基础设施，原因之一在于社区建筑设计不完善，房企在设计能力及产品质量方面有独特优势。</w:t>
      </w:r>
      <w:r w:rsidR="00F72D7A">
        <w:rPr>
          <w:rFonts w:hint="eastAsia"/>
        </w:rPr>
        <w:t>老旧小区</w:t>
      </w:r>
      <w:r w:rsidRPr="00D93777">
        <w:rPr>
          <w:rFonts w:hint="eastAsia"/>
        </w:rPr>
        <w:t>改造推进过程中的最大痛点之一为资金来源，</w:t>
      </w:r>
      <w:r>
        <w:rPr>
          <w:rFonts w:hint="eastAsia"/>
        </w:rPr>
        <w:t>目前老旧小区改造的资金来源主要为中央财政、地方财政、社会资金及居民自筹，其中以财政补贴及居民自筹资金为主。近期，住建部多次提出吸引社会资金参与老旧小区改造，</w:t>
      </w:r>
      <w:r>
        <w:rPr>
          <w:rFonts w:hint="eastAsia"/>
        </w:rPr>
        <w:t>2019</w:t>
      </w:r>
      <w:r>
        <w:rPr>
          <w:rFonts w:hint="eastAsia"/>
        </w:rPr>
        <w:t>年</w:t>
      </w:r>
      <w:r>
        <w:rPr>
          <w:rFonts w:hint="eastAsia"/>
        </w:rPr>
        <w:t>7</w:t>
      </w:r>
      <w:r>
        <w:rPr>
          <w:rFonts w:hint="eastAsia"/>
        </w:rPr>
        <w:t>月提出</w:t>
      </w:r>
      <w:r w:rsidRPr="00B80429">
        <w:rPr>
          <w:rFonts w:hint="eastAsia"/>
        </w:rPr>
        <w:t>将积极创新城镇老旧小区改造投融资机制，吸引社会力量参与</w:t>
      </w:r>
      <w:r>
        <w:rPr>
          <w:rFonts w:hint="eastAsia"/>
        </w:rPr>
        <w:t>；</w:t>
      </w:r>
      <w:r>
        <w:rPr>
          <w:rFonts w:hint="eastAsia"/>
        </w:rPr>
        <w:t>2020</w:t>
      </w:r>
      <w:r>
        <w:rPr>
          <w:rFonts w:hint="eastAsia"/>
        </w:rPr>
        <w:t>年</w:t>
      </w:r>
      <w:r>
        <w:rPr>
          <w:rFonts w:hint="eastAsia"/>
        </w:rPr>
        <w:t>4</w:t>
      </w:r>
      <w:r>
        <w:rPr>
          <w:rFonts w:hint="eastAsia"/>
        </w:rPr>
        <w:t>月提出鼓励房地产开发企业参与老旧小区改造。</w:t>
      </w:r>
      <w:bookmarkStart w:id="10" w:name="_Hlk37016706"/>
      <w:r>
        <w:rPr>
          <w:rFonts w:hint="eastAsia"/>
        </w:rPr>
        <w:t>房地产企业能够提供部分资金助力老旧小区改</w:t>
      </w:r>
      <w:r>
        <w:rPr>
          <w:rFonts w:hint="eastAsia"/>
        </w:rPr>
        <w:lastRenderedPageBreak/>
        <w:t>造，同时，房企具备供应</w:t>
      </w:r>
      <w:proofErr w:type="gramStart"/>
      <w:r>
        <w:rPr>
          <w:rFonts w:hint="eastAsia"/>
        </w:rPr>
        <w:t>链优势</w:t>
      </w:r>
      <w:proofErr w:type="gramEnd"/>
      <w:r>
        <w:rPr>
          <w:rFonts w:hint="eastAsia"/>
        </w:rPr>
        <w:t>和对上下游产业的</w:t>
      </w:r>
      <w:r w:rsidR="00C90901">
        <w:rPr>
          <w:rFonts w:hint="eastAsia"/>
        </w:rPr>
        <w:t>议价</w:t>
      </w:r>
      <w:r>
        <w:rPr>
          <w:rFonts w:hint="eastAsia"/>
        </w:rPr>
        <w:t>能力，</w:t>
      </w:r>
      <w:r w:rsidR="000134D9">
        <w:rPr>
          <w:rFonts w:hint="eastAsia"/>
        </w:rPr>
        <w:t>能够</w:t>
      </w:r>
      <w:r>
        <w:rPr>
          <w:rFonts w:hint="eastAsia"/>
        </w:rPr>
        <w:t>有效降低改造成本。</w:t>
      </w:r>
      <w:bookmarkEnd w:id="10"/>
    </w:p>
    <w:p w14:paraId="1B416E84" w14:textId="65CABCB7" w:rsidR="00D93777" w:rsidRPr="00D93777" w:rsidRDefault="00F4654C" w:rsidP="009B7AF1">
      <w:r w:rsidRPr="00F4654C">
        <w:rPr>
          <w:rFonts w:hint="eastAsia"/>
          <w:b/>
          <w:bCs/>
        </w:rPr>
        <w:t>参与老旧小区改造将助力</w:t>
      </w:r>
      <w:r w:rsidR="00D50113">
        <w:rPr>
          <w:rFonts w:hint="eastAsia"/>
          <w:b/>
          <w:bCs/>
        </w:rPr>
        <w:t>房企积累住宅更新经验、</w:t>
      </w:r>
      <w:r w:rsidRPr="00F4654C">
        <w:rPr>
          <w:rFonts w:hint="eastAsia"/>
          <w:b/>
          <w:bCs/>
        </w:rPr>
        <w:t>提升服务及运营能力，在存量住宅时代实现持续发展。</w:t>
      </w:r>
      <w:r w:rsidR="00C07316">
        <w:rPr>
          <w:rFonts w:hint="eastAsia"/>
        </w:rPr>
        <w:t>对于快速周转的房企而言，参与老旧小区改造资金回收周期较长，因此在盈利方面，老旧小区改造远不如传统的住宅开发业务。然而，缺乏物业管理的老旧小区将对各大开发商的物业管理业务提供广阔的外拓机会，老旧小区的改造亦将对开发商的城市</w:t>
      </w:r>
      <w:r w:rsidR="00C670E3">
        <w:rPr>
          <w:rFonts w:hint="eastAsia"/>
        </w:rPr>
        <w:t>运营和资产管理能力</w:t>
      </w:r>
      <w:r w:rsidR="00C07316">
        <w:rPr>
          <w:rFonts w:hint="eastAsia"/>
        </w:rPr>
        <w:t>提出更高要求。参与老旧小区改造或将使</w:t>
      </w:r>
      <w:r w:rsidR="00C670E3">
        <w:rPr>
          <w:rFonts w:hint="eastAsia"/>
        </w:rPr>
        <w:t>房企的服务及运营能力得到提升</w:t>
      </w:r>
      <w:r w:rsidR="00BA7281">
        <w:rPr>
          <w:rFonts w:hint="eastAsia"/>
        </w:rPr>
        <w:t>，助力房企在存量住宅时代的持续发展</w:t>
      </w:r>
      <w:r w:rsidR="00C670E3">
        <w:rPr>
          <w:rFonts w:hint="eastAsia"/>
        </w:rPr>
        <w:t>。</w:t>
      </w:r>
    </w:p>
    <w:bookmarkEnd w:id="3"/>
    <w:p w14:paraId="07069876" w14:textId="1CE796C5" w:rsidR="007551B6" w:rsidRDefault="007551B6">
      <w:pPr>
        <w:ind w:right="0"/>
        <w:jc w:val="left"/>
      </w:pPr>
      <w:r>
        <w:br w:type="page"/>
      </w:r>
    </w:p>
    <w:p w14:paraId="0DEF8FD1" w14:textId="77777777" w:rsidR="00EF5C8A" w:rsidRPr="00EF5C8A" w:rsidRDefault="00EF5C8A" w:rsidP="00EF5C8A">
      <w:pPr>
        <w:keepNext/>
        <w:keepLines/>
        <w:spacing w:before="480" w:after="0" w:line="360" w:lineRule="auto"/>
        <w:outlineLvl w:val="0"/>
        <w:rPr>
          <w:rFonts w:cs="Times New Roman"/>
          <w:b/>
          <w:bCs/>
          <w:sz w:val="40"/>
          <w:szCs w:val="28"/>
        </w:rPr>
      </w:pPr>
      <w:r w:rsidRPr="00EF5C8A">
        <w:rPr>
          <w:rFonts w:cs="Times New Roman"/>
          <w:b/>
          <w:bCs/>
          <w:sz w:val="40"/>
          <w:szCs w:val="28"/>
        </w:rPr>
        <w:lastRenderedPageBreak/>
        <w:t>2.</w:t>
      </w:r>
      <w:r w:rsidRPr="00EF5C8A">
        <w:rPr>
          <w:rFonts w:cs="Times New Roman"/>
          <w:b/>
          <w:bCs/>
          <w:sz w:val="40"/>
          <w:szCs w:val="28"/>
        </w:rPr>
        <w:t>行业表现</w:t>
      </w:r>
    </w:p>
    <w:p w14:paraId="3A6D013F" w14:textId="77777777" w:rsidR="00EF5C8A" w:rsidRPr="00EF5C8A" w:rsidRDefault="00EF5C8A" w:rsidP="00EF5C8A">
      <w:pPr>
        <w:keepNext/>
        <w:keepLines/>
        <w:spacing w:after="0" w:line="360" w:lineRule="auto"/>
        <w:outlineLvl w:val="1"/>
        <w:rPr>
          <w:rFonts w:cs="Times New Roman"/>
          <w:b/>
          <w:bCs/>
          <w:sz w:val="28"/>
          <w:szCs w:val="26"/>
        </w:rPr>
      </w:pPr>
      <w:r w:rsidRPr="00EF5C8A">
        <w:rPr>
          <w:rFonts w:cs="Times New Roman"/>
          <w:b/>
          <w:bCs/>
          <w:sz w:val="28"/>
          <w:szCs w:val="26"/>
        </w:rPr>
        <w:t xml:space="preserve">2.1 </w:t>
      </w:r>
      <w:r w:rsidRPr="00EF5C8A">
        <w:rPr>
          <w:rFonts w:cs="Times New Roman" w:hint="eastAsia"/>
          <w:b/>
          <w:bCs/>
          <w:sz w:val="28"/>
          <w:szCs w:val="26"/>
        </w:rPr>
        <w:t>地产开发行业表现</w:t>
      </w:r>
    </w:p>
    <w:p w14:paraId="02D5A0D6" w14:textId="5A079A2A" w:rsidR="00EF5C8A" w:rsidRPr="00EF5C8A" w:rsidRDefault="00A46062" w:rsidP="00EF5C8A">
      <w:pPr>
        <w:ind w:right="2715"/>
        <w:rPr>
          <w:rFonts w:cs="Times New Roman"/>
        </w:rPr>
      </w:pPr>
      <w:r>
        <w:rPr>
          <w:rFonts w:ascii="Helvetica" w:hAnsi="Helvetica" w:cs="Helvetica" w:hint="eastAsia"/>
          <w:color w:val="000000"/>
          <w:szCs w:val="21"/>
          <w:shd w:val="clear" w:color="auto" w:fill="FFFFFF"/>
        </w:rPr>
        <w:t>本</w:t>
      </w:r>
      <w:r w:rsidR="00EF5C8A" w:rsidRPr="00EF5C8A">
        <w:rPr>
          <w:rFonts w:ascii="Helvetica" w:hAnsi="Helvetica" w:cs="Helvetica" w:hint="eastAsia"/>
          <w:color w:val="000000"/>
          <w:szCs w:val="21"/>
          <w:shd w:val="clear" w:color="auto" w:fill="FFFFFF"/>
        </w:rPr>
        <w:t>周，</w:t>
      </w:r>
      <w:proofErr w:type="gramStart"/>
      <w:r w:rsidR="00BA5BE8" w:rsidRPr="00BA5BE8">
        <w:rPr>
          <w:rFonts w:ascii="Helvetica" w:hAnsi="Helvetica" w:cs="Helvetica" w:hint="eastAsia"/>
          <w:color w:val="000000"/>
          <w:szCs w:val="21"/>
          <w:shd w:val="clear" w:color="auto" w:fill="FFFFFF"/>
        </w:rPr>
        <w:t>朗诗地产</w:t>
      </w:r>
      <w:proofErr w:type="gramEnd"/>
      <w:r w:rsidR="00BA5BE8" w:rsidRPr="00BA5BE8">
        <w:rPr>
          <w:rFonts w:ascii="Helvetica" w:hAnsi="Helvetica" w:cs="Helvetica" w:hint="eastAsia"/>
          <w:color w:val="000000"/>
          <w:szCs w:val="21"/>
          <w:shd w:val="clear" w:color="auto" w:fill="FFFFFF"/>
        </w:rPr>
        <w:t>、招商局置地、万科海外</w:t>
      </w:r>
      <w:r w:rsidR="00EF5C8A" w:rsidRPr="00EF5C8A">
        <w:rPr>
          <w:rFonts w:ascii="Helvetica" w:hAnsi="Helvetica" w:cs="Helvetica" w:hint="eastAsia"/>
          <w:color w:val="000000"/>
          <w:szCs w:val="21"/>
          <w:shd w:val="clear" w:color="auto" w:fill="FFFFFF"/>
        </w:rPr>
        <w:t>涨幅居前</w:t>
      </w:r>
      <w:r w:rsidR="00EF5C8A" w:rsidRPr="00EF5C8A">
        <w:rPr>
          <w:rFonts w:ascii="Helvetica" w:hAnsi="Helvetica" w:cs="Helvetica"/>
          <w:color w:val="000000"/>
          <w:szCs w:val="21"/>
          <w:shd w:val="clear" w:color="auto" w:fill="FFFFFF"/>
        </w:rPr>
        <w:t>。</w:t>
      </w:r>
      <w:r w:rsidR="00BA5BE8" w:rsidRPr="00BA5BE8">
        <w:rPr>
          <w:rFonts w:cs="Times New Roman" w:hint="eastAsia"/>
          <w:color w:val="000000"/>
          <w:szCs w:val="21"/>
          <w:shd w:val="clear" w:color="auto" w:fill="FFFFFF"/>
        </w:rPr>
        <w:t>SOHO</w:t>
      </w:r>
      <w:r w:rsidR="00BA5BE8" w:rsidRPr="00BA5BE8">
        <w:rPr>
          <w:rFonts w:cs="Times New Roman" w:hint="eastAsia"/>
          <w:color w:val="000000"/>
          <w:szCs w:val="21"/>
          <w:shd w:val="clear" w:color="auto" w:fill="FFFFFF"/>
        </w:rPr>
        <w:t>中国、建发国际集团、银城国际控股</w:t>
      </w:r>
      <w:r w:rsidR="00BA5BE8" w:rsidRPr="00EF5C8A">
        <w:rPr>
          <w:rFonts w:ascii="Helvetica" w:hAnsi="Helvetica" w:cs="Helvetica"/>
          <w:color w:val="000000"/>
          <w:szCs w:val="21"/>
          <w:shd w:val="clear" w:color="auto" w:fill="FFFFFF"/>
        </w:rPr>
        <w:t>年初至今</w:t>
      </w:r>
      <w:r w:rsidR="00EF5C8A" w:rsidRPr="00EF5C8A">
        <w:rPr>
          <w:rFonts w:ascii="Helvetica" w:hAnsi="Helvetica" w:cs="Helvetica"/>
          <w:color w:val="000000"/>
          <w:szCs w:val="21"/>
          <w:shd w:val="clear" w:color="auto" w:fill="FFFFFF"/>
        </w:rPr>
        <w:t>涨幅居前。</w:t>
      </w:r>
    </w:p>
    <w:tbl>
      <w:tblPr>
        <w:tblpPr w:leftFromText="180" w:rightFromText="180" w:vertAnchor="text" w:horzAnchor="margin" w:tblpY="99"/>
        <w:tblW w:w="10206" w:type="dxa"/>
        <w:tblLayout w:type="fixed"/>
        <w:tblCellMar>
          <w:left w:w="0" w:type="dxa"/>
          <w:right w:w="0" w:type="dxa"/>
        </w:tblCellMar>
        <w:tblLook w:val="04A0" w:firstRow="1" w:lastRow="0" w:firstColumn="1" w:lastColumn="0" w:noHBand="0" w:noVBand="1"/>
      </w:tblPr>
      <w:tblGrid>
        <w:gridCol w:w="4985"/>
        <w:gridCol w:w="236"/>
        <w:gridCol w:w="4985"/>
      </w:tblGrid>
      <w:tr w:rsidR="00EF5C8A" w:rsidRPr="00EF5C8A" w14:paraId="4D2325F9" w14:textId="77777777" w:rsidTr="00894BF4">
        <w:tc>
          <w:tcPr>
            <w:tcW w:w="4985" w:type="dxa"/>
          </w:tcPr>
          <w:p w14:paraId="5887E824" w14:textId="53160C29" w:rsidR="00EF5C8A" w:rsidRPr="00B62FC4" w:rsidRDefault="00EF5C8A" w:rsidP="00EF5C8A">
            <w:pPr>
              <w:keepNext/>
              <w:spacing w:after="0" w:line="240" w:lineRule="auto"/>
              <w:ind w:right="24"/>
              <w:contextualSpacing/>
              <w:rPr>
                <w:rFonts w:cs="Times New Roman"/>
                <w:b/>
                <w:bCs/>
                <w:szCs w:val="21"/>
              </w:rPr>
            </w:pPr>
            <w:bookmarkStart w:id="11" w:name="_Toc5889966"/>
            <w:r w:rsidRPr="00B62FC4">
              <w:rPr>
                <w:rFonts w:cs="Times New Roman" w:hint="eastAsia"/>
                <w:b/>
                <w:bCs/>
                <w:szCs w:val="21"/>
              </w:rPr>
              <w:t>图</w:t>
            </w:r>
            <w:r w:rsidRPr="00B62FC4">
              <w:rPr>
                <w:rFonts w:cs="Times New Roman" w:hint="eastAsia"/>
                <w:b/>
                <w:bCs/>
                <w:szCs w:val="21"/>
              </w:rPr>
              <w:t xml:space="preserve"> </w:t>
            </w:r>
            <w:r w:rsidRPr="00B62FC4">
              <w:rPr>
                <w:rFonts w:cs="Times New Roman"/>
                <w:b/>
                <w:bCs/>
                <w:szCs w:val="21"/>
              </w:rPr>
              <w:fldChar w:fldCharType="begin"/>
            </w:r>
            <w:r w:rsidRPr="00B62FC4">
              <w:rPr>
                <w:rFonts w:cs="Times New Roman"/>
                <w:b/>
                <w:bCs/>
                <w:szCs w:val="21"/>
              </w:rPr>
              <w:instrText xml:space="preserve"> </w:instrText>
            </w:r>
            <w:r w:rsidRPr="00B62FC4">
              <w:rPr>
                <w:rFonts w:cs="Times New Roman" w:hint="eastAsia"/>
                <w:b/>
                <w:bCs/>
                <w:szCs w:val="21"/>
              </w:rPr>
              <w:instrText xml:space="preserve">SEQ </w:instrText>
            </w:r>
            <w:r w:rsidRPr="00B62FC4">
              <w:rPr>
                <w:rFonts w:cs="Times New Roman" w:hint="eastAsia"/>
                <w:b/>
                <w:bCs/>
                <w:szCs w:val="21"/>
              </w:rPr>
              <w:instrText>图</w:instrText>
            </w:r>
            <w:r w:rsidRPr="00B62FC4">
              <w:rPr>
                <w:rFonts w:cs="Times New Roman" w:hint="eastAsia"/>
                <w:b/>
                <w:bCs/>
                <w:szCs w:val="21"/>
              </w:rPr>
              <w:instrText xml:space="preserve"> \* ARABIC</w:instrText>
            </w:r>
            <w:r w:rsidRPr="00B62FC4">
              <w:rPr>
                <w:rFonts w:cs="Times New Roman"/>
                <w:b/>
                <w:bCs/>
                <w:szCs w:val="21"/>
              </w:rPr>
              <w:instrText xml:space="preserve"> </w:instrText>
            </w:r>
            <w:r w:rsidRPr="00B62FC4">
              <w:rPr>
                <w:rFonts w:cs="Times New Roman"/>
                <w:b/>
                <w:bCs/>
                <w:szCs w:val="21"/>
              </w:rPr>
              <w:fldChar w:fldCharType="separate"/>
            </w:r>
            <w:r w:rsidR="00DB5785">
              <w:rPr>
                <w:rFonts w:cs="Times New Roman"/>
                <w:b/>
                <w:bCs/>
                <w:noProof/>
                <w:szCs w:val="21"/>
              </w:rPr>
              <w:t>5</w:t>
            </w:r>
            <w:r w:rsidRPr="00B62FC4">
              <w:rPr>
                <w:rFonts w:cs="Times New Roman"/>
                <w:b/>
                <w:bCs/>
                <w:szCs w:val="21"/>
              </w:rPr>
              <w:fldChar w:fldCharType="end"/>
            </w:r>
            <w:r w:rsidRPr="00B62FC4">
              <w:rPr>
                <w:rFonts w:cs="Times New Roman" w:hint="eastAsia"/>
                <w:b/>
                <w:bCs/>
                <w:szCs w:val="21"/>
              </w:rPr>
              <w:t>：</w:t>
            </w:r>
            <w:proofErr w:type="gramStart"/>
            <w:r w:rsidR="005C17BE">
              <w:rPr>
                <w:rFonts w:cs="Times New Roman" w:hint="eastAsia"/>
                <w:b/>
                <w:bCs/>
                <w:szCs w:val="21"/>
              </w:rPr>
              <w:t>朗诗地产</w:t>
            </w:r>
            <w:proofErr w:type="gramEnd"/>
            <w:r w:rsidR="005C17BE">
              <w:rPr>
                <w:rFonts w:cs="Times New Roman" w:hint="eastAsia"/>
                <w:b/>
                <w:bCs/>
                <w:szCs w:val="21"/>
              </w:rPr>
              <w:t>、招商局置地、万科海外</w:t>
            </w:r>
            <w:r w:rsidR="00A46062">
              <w:rPr>
                <w:rFonts w:cs="Times New Roman" w:hint="eastAsia"/>
                <w:b/>
                <w:bCs/>
                <w:szCs w:val="21"/>
              </w:rPr>
              <w:t>本</w:t>
            </w:r>
            <w:r w:rsidR="00105CFA" w:rsidRPr="00B62FC4">
              <w:rPr>
                <w:rFonts w:cs="Times New Roman" w:hint="eastAsia"/>
                <w:b/>
                <w:bCs/>
                <w:szCs w:val="21"/>
              </w:rPr>
              <w:t>周</w:t>
            </w:r>
            <w:r w:rsidRPr="00B62FC4">
              <w:rPr>
                <w:rFonts w:cs="Times New Roman" w:hint="eastAsia"/>
                <w:b/>
                <w:bCs/>
                <w:szCs w:val="21"/>
              </w:rPr>
              <w:t>涨幅居前</w:t>
            </w:r>
            <w:bookmarkEnd w:id="11"/>
          </w:p>
        </w:tc>
        <w:tc>
          <w:tcPr>
            <w:tcW w:w="236" w:type="dxa"/>
          </w:tcPr>
          <w:p w14:paraId="70E181F9" w14:textId="77777777" w:rsidR="00EF5C8A" w:rsidRPr="00B62FC4" w:rsidRDefault="00EF5C8A" w:rsidP="00EF5C8A">
            <w:pPr>
              <w:spacing w:after="0"/>
              <w:rPr>
                <w:rFonts w:cs="Times New Roman"/>
                <w:b/>
                <w:szCs w:val="21"/>
              </w:rPr>
            </w:pPr>
          </w:p>
        </w:tc>
        <w:tc>
          <w:tcPr>
            <w:tcW w:w="4985" w:type="dxa"/>
          </w:tcPr>
          <w:p w14:paraId="16441696" w14:textId="2BEB38CB" w:rsidR="00EF5C8A" w:rsidRPr="00B62FC4" w:rsidRDefault="00B62FC4" w:rsidP="00B62FC4">
            <w:pPr>
              <w:pStyle w:val="ad"/>
              <w:keepNext/>
              <w:ind w:right="0"/>
              <w:rPr>
                <w:sz w:val="21"/>
                <w:szCs w:val="21"/>
              </w:rPr>
            </w:pPr>
            <w:r w:rsidRPr="00B62FC4">
              <w:rPr>
                <w:rFonts w:hint="eastAsia"/>
                <w:sz w:val="21"/>
                <w:szCs w:val="21"/>
              </w:rPr>
              <w:t>图</w:t>
            </w:r>
            <w:r w:rsidRPr="00B62FC4">
              <w:rPr>
                <w:rFonts w:hint="eastAsia"/>
                <w:sz w:val="21"/>
                <w:szCs w:val="21"/>
              </w:rPr>
              <w:t xml:space="preserve"> </w:t>
            </w:r>
            <w:r w:rsidRPr="00B62FC4">
              <w:rPr>
                <w:sz w:val="21"/>
                <w:szCs w:val="21"/>
              </w:rPr>
              <w:fldChar w:fldCharType="begin"/>
            </w:r>
            <w:r w:rsidRPr="00B62FC4">
              <w:rPr>
                <w:sz w:val="21"/>
                <w:szCs w:val="21"/>
              </w:rPr>
              <w:instrText xml:space="preserve"> </w:instrText>
            </w:r>
            <w:r w:rsidRPr="00B62FC4">
              <w:rPr>
                <w:rFonts w:hint="eastAsia"/>
                <w:sz w:val="21"/>
                <w:szCs w:val="21"/>
              </w:rPr>
              <w:instrText xml:space="preserve">SEQ </w:instrText>
            </w:r>
            <w:r w:rsidRPr="00B62FC4">
              <w:rPr>
                <w:rFonts w:hint="eastAsia"/>
                <w:sz w:val="21"/>
                <w:szCs w:val="21"/>
              </w:rPr>
              <w:instrText>图</w:instrText>
            </w:r>
            <w:r w:rsidRPr="00B62FC4">
              <w:rPr>
                <w:rFonts w:hint="eastAsia"/>
                <w:sz w:val="21"/>
                <w:szCs w:val="21"/>
              </w:rPr>
              <w:instrText xml:space="preserve"> \* ARABIC</w:instrText>
            </w:r>
            <w:r w:rsidRPr="00B62FC4">
              <w:rPr>
                <w:sz w:val="21"/>
                <w:szCs w:val="21"/>
              </w:rPr>
              <w:instrText xml:space="preserve"> </w:instrText>
            </w:r>
            <w:r w:rsidRPr="00B62FC4">
              <w:rPr>
                <w:sz w:val="21"/>
                <w:szCs w:val="21"/>
              </w:rPr>
              <w:fldChar w:fldCharType="separate"/>
            </w:r>
            <w:r w:rsidR="00DB5785">
              <w:rPr>
                <w:noProof/>
                <w:sz w:val="21"/>
                <w:szCs w:val="21"/>
              </w:rPr>
              <w:t>6</w:t>
            </w:r>
            <w:r w:rsidRPr="00B62FC4">
              <w:rPr>
                <w:sz w:val="21"/>
                <w:szCs w:val="21"/>
              </w:rPr>
              <w:fldChar w:fldCharType="end"/>
            </w:r>
            <w:r w:rsidR="00EF5C8A" w:rsidRPr="00B62FC4">
              <w:rPr>
                <w:rFonts w:cs="Times New Roman" w:hint="eastAsia"/>
                <w:sz w:val="21"/>
                <w:szCs w:val="21"/>
              </w:rPr>
              <w:t>：</w:t>
            </w:r>
            <w:r w:rsidR="002F5FE0" w:rsidRPr="00B62FC4">
              <w:rPr>
                <w:rFonts w:cs="Times New Roman" w:hint="eastAsia"/>
                <w:sz w:val="21"/>
                <w:szCs w:val="21"/>
              </w:rPr>
              <w:t>S</w:t>
            </w:r>
            <w:r w:rsidR="002F5FE0" w:rsidRPr="00B62FC4">
              <w:rPr>
                <w:rFonts w:cs="Times New Roman"/>
                <w:sz w:val="21"/>
                <w:szCs w:val="21"/>
              </w:rPr>
              <w:t>OHO</w:t>
            </w:r>
            <w:r w:rsidR="002F5FE0" w:rsidRPr="00B62FC4">
              <w:rPr>
                <w:rFonts w:cs="Times New Roman" w:hint="eastAsia"/>
                <w:sz w:val="21"/>
                <w:szCs w:val="21"/>
              </w:rPr>
              <w:t>中国、建发国际集团</w:t>
            </w:r>
            <w:r w:rsidR="005C17BE">
              <w:rPr>
                <w:rFonts w:cs="Times New Roman" w:hint="eastAsia"/>
                <w:sz w:val="21"/>
                <w:szCs w:val="21"/>
              </w:rPr>
              <w:t>、银城</w:t>
            </w:r>
            <w:r w:rsidR="00BA5BE8">
              <w:rPr>
                <w:rFonts w:cs="Times New Roman" w:hint="eastAsia"/>
                <w:sz w:val="21"/>
                <w:szCs w:val="21"/>
              </w:rPr>
              <w:t>国际控股</w:t>
            </w:r>
            <w:r w:rsidR="00EF5C8A" w:rsidRPr="00B62FC4">
              <w:rPr>
                <w:rFonts w:cs="Times New Roman" w:hint="eastAsia"/>
                <w:sz w:val="21"/>
                <w:szCs w:val="21"/>
              </w:rPr>
              <w:t>年初至今涨幅居前</w:t>
            </w:r>
          </w:p>
        </w:tc>
      </w:tr>
      <w:tr w:rsidR="00EF5C8A" w:rsidRPr="00EF5C8A" w14:paraId="6978AEA5" w14:textId="77777777" w:rsidTr="005C17BE">
        <w:tblPrEx>
          <w:tblCellMar>
            <w:left w:w="108" w:type="dxa"/>
            <w:right w:w="108" w:type="dxa"/>
          </w:tblCellMar>
        </w:tblPrEx>
        <w:tc>
          <w:tcPr>
            <w:tcW w:w="4985" w:type="dxa"/>
            <w:vAlign w:val="center"/>
          </w:tcPr>
          <w:p w14:paraId="5874A51C" w14:textId="616380DC" w:rsidR="00EF5C8A" w:rsidRPr="00EF5C8A" w:rsidRDefault="005C17BE" w:rsidP="00EF5C8A">
            <w:pPr>
              <w:spacing w:after="0"/>
              <w:ind w:right="0"/>
              <w:rPr>
                <w:rFonts w:cs="Times New Roman"/>
                <w:sz w:val="16"/>
                <w:szCs w:val="16"/>
              </w:rPr>
            </w:pPr>
            <w:r>
              <w:rPr>
                <w:noProof/>
              </w:rPr>
              <w:drawing>
                <wp:inline distT="0" distB="0" distL="0" distR="0" wp14:anchorId="4153610C" wp14:editId="36BEDD21">
                  <wp:extent cx="3028315" cy="3032760"/>
                  <wp:effectExtent l="0" t="0" r="635" b="0"/>
                  <wp:docPr id="5" name="图表 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236" w:type="dxa"/>
            <w:vAlign w:val="center"/>
          </w:tcPr>
          <w:p w14:paraId="0DEF1358" w14:textId="77777777" w:rsidR="00EF5C8A" w:rsidRPr="00EF5C8A" w:rsidRDefault="00EF5C8A" w:rsidP="00EF5C8A">
            <w:pPr>
              <w:spacing w:after="0"/>
              <w:rPr>
                <w:rFonts w:cs="Times New Roman"/>
                <w:sz w:val="16"/>
                <w:szCs w:val="16"/>
              </w:rPr>
            </w:pPr>
          </w:p>
        </w:tc>
        <w:tc>
          <w:tcPr>
            <w:tcW w:w="4985" w:type="dxa"/>
            <w:vAlign w:val="center"/>
          </w:tcPr>
          <w:p w14:paraId="27C5C739" w14:textId="3C80E77C" w:rsidR="00EF5C8A" w:rsidRPr="00EF5C8A" w:rsidRDefault="005C17BE" w:rsidP="00EF5C8A">
            <w:pPr>
              <w:spacing w:after="0"/>
              <w:ind w:right="33"/>
              <w:rPr>
                <w:rFonts w:cs="Times New Roman"/>
                <w:sz w:val="16"/>
                <w:szCs w:val="16"/>
              </w:rPr>
            </w:pPr>
            <w:r>
              <w:rPr>
                <w:noProof/>
              </w:rPr>
              <w:drawing>
                <wp:inline distT="0" distB="0" distL="0" distR="0" wp14:anchorId="383D613B" wp14:editId="25C7DE77">
                  <wp:extent cx="3028315" cy="3032760"/>
                  <wp:effectExtent l="0" t="0" r="635" b="0"/>
                  <wp:docPr id="6" name="图表 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EF5C8A" w:rsidRPr="00EF5C8A" w14:paraId="5272DB91" w14:textId="77777777" w:rsidTr="00894BF4">
        <w:tc>
          <w:tcPr>
            <w:tcW w:w="4985" w:type="dxa"/>
          </w:tcPr>
          <w:p w14:paraId="55D0E115" w14:textId="6CCB64E0" w:rsidR="00EF5C8A" w:rsidRPr="00EF5C8A" w:rsidRDefault="00A507E1" w:rsidP="00105CFA">
            <w:pPr>
              <w:spacing w:after="0" w:line="240" w:lineRule="auto"/>
              <w:ind w:right="0"/>
              <w:rPr>
                <w:rFonts w:cs="Times New Roman"/>
                <w:sz w:val="18"/>
              </w:rPr>
            </w:pPr>
            <w:r>
              <w:rPr>
                <w:rFonts w:cs="Times New Roman"/>
                <w:sz w:val="18"/>
              </w:rPr>
              <w:t>数据来源</w:t>
            </w:r>
            <w:r w:rsidR="00EF5C8A" w:rsidRPr="00EF5C8A">
              <w:rPr>
                <w:rFonts w:cs="Times New Roman"/>
                <w:sz w:val="18"/>
              </w:rPr>
              <w:t>：</w:t>
            </w:r>
            <w:r w:rsidR="00EF5C8A" w:rsidRPr="00EF5C8A">
              <w:rPr>
                <w:rFonts w:cs="Times New Roman"/>
                <w:sz w:val="18"/>
              </w:rPr>
              <w:t>Wind</w:t>
            </w:r>
            <w:r w:rsidR="009E4061">
              <w:rPr>
                <w:rFonts w:cs="Times New Roman"/>
                <w:sz w:val="18"/>
              </w:rPr>
              <w:t>，</w:t>
            </w:r>
            <w:r w:rsidR="00EF5C8A" w:rsidRPr="00EF5C8A">
              <w:rPr>
                <w:rFonts w:cs="Times New Roman"/>
                <w:sz w:val="18"/>
              </w:rPr>
              <w:t>中</w:t>
            </w:r>
            <w:proofErr w:type="gramStart"/>
            <w:r w:rsidR="00EF5C8A" w:rsidRPr="00EF5C8A">
              <w:rPr>
                <w:rFonts w:cs="Times New Roman"/>
                <w:sz w:val="18"/>
              </w:rPr>
              <w:t>达证券</w:t>
            </w:r>
            <w:proofErr w:type="gramEnd"/>
            <w:r w:rsidR="00EF5C8A" w:rsidRPr="00EF5C8A">
              <w:rPr>
                <w:rFonts w:cs="Times New Roman"/>
                <w:sz w:val="18"/>
              </w:rPr>
              <w:t>研究</w:t>
            </w:r>
          </w:p>
        </w:tc>
        <w:tc>
          <w:tcPr>
            <w:tcW w:w="236" w:type="dxa"/>
          </w:tcPr>
          <w:p w14:paraId="4957C71C" w14:textId="77777777" w:rsidR="00EF5C8A" w:rsidRPr="00EF5C8A" w:rsidRDefault="00EF5C8A" w:rsidP="00EF5C8A">
            <w:pPr>
              <w:spacing w:after="0"/>
              <w:rPr>
                <w:rFonts w:cs="Times New Roman"/>
                <w:sz w:val="18"/>
              </w:rPr>
            </w:pPr>
          </w:p>
        </w:tc>
        <w:tc>
          <w:tcPr>
            <w:tcW w:w="4985" w:type="dxa"/>
          </w:tcPr>
          <w:p w14:paraId="477E46E7" w14:textId="13028892" w:rsidR="00EF5C8A" w:rsidRPr="00EF5C8A" w:rsidRDefault="00A507E1" w:rsidP="00EF5C8A">
            <w:pPr>
              <w:spacing w:after="120" w:line="240" w:lineRule="auto"/>
              <w:ind w:right="0"/>
              <w:rPr>
                <w:rFonts w:cs="Times New Roman"/>
                <w:sz w:val="18"/>
              </w:rPr>
            </w:pPr>
            <w:r>
              <w:rPr>
                <w:rFonts w:cs="Times New Roman"/>
                <w:sz w:val="18"/>
              </w:rPr>
              <w:t>数据来源</w:t>
            </w:r>
            <w:r w:rsidR="00EF5C8A" w:rsidRPr="00EF5C8A">
              <w:rPr>
                <w:rFonts w:cs="Times New Roman"/>
                <w:sz w:val="18"/>
              </w:rPr>
              <w:t>：</w:t>
            </w:r>
            <w:r w:rsidR="00EF5C8A" w:rsidRPr="00EF5C8A">
              <w:rPr>
                <w:rFonts w:cs="Times New Roman"/>
                <w:sz w:val="18"/>
              </w:rPr>
              <w:t>Wind</w:t>
            </w:r>
            <w:r w:rsidR="009E4061">
              <w:rPr>
                <w:rFonts w:cs="Times New Roman"/>
                <w:sz w:val="18"/>
              </w:rPr>
              <w:t>，</w:t>
            </w:r>
            <w:r w:rsidR="00EF5C8A" w:rsidRPr="00EF5C8A">
              <w:rPr>
                <w:rFonts w:cs="Times New Roman"/>
                <w:sz w:val="18"/>
              </w:rPr>
              <w:t>中</w:t>
            </w:r>
            <w:proofErr w:type="gramStart"/>
            <w:r w:rsidR="00EF5C8A" w:rsidRPr="00EF5C8A">
              <w:rPr>
                <w:rFonts w:cs="Times New Roman"/>
                <w:sz w:val="18"/>
              </w:rPr>
              <w:t>达证券</w:t>
            </w:r>
            <w:proofErr w:type="gramEnd"/>
            <w:r w:rsidR="00EF5C8A" w:rsidRPr="00EF5C8A">
              <w:rPr>
                <w:rFonts w:cs="Times New Roman"/>
                <w:sz w:val="18"/>
              </w:rPr>
              <w:t>研究</w:t>
            </w:r>
          </w:p>
        </w:tc>
      </w:tr>
    </w:tbl>
    <w:p w14:paraId="1B5E26BD" w14:textId="77777777" w:rsidR="00EF5C8A" w:rsidRPr="00EF5C8A" w:rsidRDefault="00EF5C8A" w:rsidP="00EF5C8A">
      <w:pPr>
        <w:ind w:right="2715"/>
        <w:rPr>
          <w:rFonts w:cs="Times New Roman"/>
        </w:rPr>
      </w:pPr>
    </w:p>
    <w:tbl>
      <w:tblPr>
        <w:tblStyle w:val="af"/>
        <w:tblW w:w="751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13"/>
      </w:tblGrid>
      <w:tr w:rsidR="00EF5C8A" w:rsidRPr="00EF5C8A" w14:paraId="6C46ACD0" w14:textId="77777777" w:rsidTr="00894BF4">
        <w:tc>
          <w:tcPr>
            <w:tcW w:w="7513" w:type="dxa"/>
          </w:tcPr>
          <w:p w14:paraId="0600EB11" w14:textId="7338BDA5" w:rsidR="00EF5C8A" w:rsidRPr="00B62FC4" w:rsidRDefault="00B62FC4" w:rsidP="00B62FC4">
            <w:pPr>
              <w:pStyle w:val="ad"/>
              <w:keepNext/>
              <w:ind w:right="-113"/>
            </w:pPr>
            <w:r w:rsidRPr="00B62FC4">
              <w:rPr>
                <w:rFonts w:hint="eastAsia"/>
                <w:sz w:val="21"/>
                <w:szCs w:val="20"/>
              </w:rPr>
              <w:t>图</w:t>
            </w:r>
            <w:r w:rsidRPr="00B62FC4">
              <w:rPr>
                <w:rFonts w:hint="eastAsia"/>
                <w:sz w:val="21"/>
                <w:szCs w:val="20"/>
              </w:rPr>
              <w:t xml:space="preserve"> </w:t>
            </w:r>
            <w:r w:rsidRPr="00B62FC4">
              <w:rPr>
                <w:sz w:val="21"/>
                <w:szCs w:val="20"/>
              </w:rPr>
              <w:fldChar w:fldCharType="begin"/>
            </w:r>
            <w:r w:rsidRPr="00B62FC4">
              <w:rPr>
                <w:sz w:val="21"/>
                <w:szCs w:val="20"/>
              </w:rPr>
              <w:instrText xml:space="preserve"> </w:instrText>
            </w:r>
            <w:r w:rsidRPr="00B62FC4">
              <w:rPr>
                <w:rFonts w:hint="eastAsia"/>
                <w:sz w:val="21"/>
                <w:szCs w:val="20"/>
              </w:rPr>
              <w:instrText xml:space="preserve">SEQ </w:instrText>
            </w:r>
            <w:r w:rsidRPr="00B62FC4">
              <w:rPr>
                <w:rFonts w:hint="eastAsia"/>
                <w:sz w:val="21"/>
                <w:szCs w:val="20"/>
              </w:rPr>
              <w:instrText>图</w:instrText>
            </w:r>
            <w:r w:rsidRPr="00B62FC4">
              <w:rPr>
                <w:rFonts w:hint="eastAsia"/>
                <w:sz w:val="21"/>
                <w:szCs w:val="20"/>
              </w:rPr>
              <w:instrText xml:space="preserve"> \* ARABIC</w:instrText>
            </w:r>
            <w:r w:rsidRPr="00B62FC4">
              <w:rPr>
                <w:sz w:val="21"/>
                <w:szCs w:val="20"/>
              </w:rPr>
              <w:instrText xml:space="preserve"> </w:instrText>
            </w:r>
            <w:r w:rsidRPr="00B62FC4">
              <w:rPr>
                <w:sz w:val="21"/>
                <w:szCs w:val="20"/>
              </w:rPr>
              <w:fldChar w:fldCharType="separate"/>
            </w:r>
            <w:r w:rsidR="00DB5785">
              <w:rPr>
                <w:noProof/>
                <w:sz w:val="21"/>
                <w:szCs w:val="20"/>
              </w:rPr>
              <w:t>7</w:t>
            </w:r>
            <w:r w:rsidRPr="00B62FC4">
              <w:rPr>
                <w:sz w:val="21"/>
                <w:szCs w:val="20"/>
              </w:rPr>
              <w:fldChar w:fldCharType="end"/>
            </w:r>
            <w:r w:rsidR="00EF5C8A" w:rsidRPr="00B62FC4">
              <w:rPr>
                <w:rFonts w:cs="Times New Roman"/>
                <w:sz w:val="21"/>
                <w:szCs w:val="21"/>
              </w:rPr>
              <w:t>：</w:t>
            </w:r>
            <w:r w:rsidR="00BA5BE8">
              <w:rPr>
                <w:rFonts w:cs="Times New Roman" w:hint="eastAsia"/>
                <w:sz w:val="21"/>
                <w:szCs w:val="21"/>
              </w:rPr>
              <w:t>富力地产、首创置业、万科企业</w:t>
            </w:r>
            <w:r w:rsidR="00A46062">
              <w:rPr>
                <w:rFonts w:cs="Times New Roman" w:hint="eastAsia"/>
                <w:sz w:val="21"/>
                <w:szCs w:val="21"/>
              </w:rPr>
              <w:t>本</w:t>
            </w:r>
            <w:r w:rsidR="00EF5C8A" w:rsidRPr="00B62FC4">
              <w:rPr>
                <w:rFonts w:cs="Times New Roman" w:hint="eastAsia"/>
                <w:sz w:val="21"/>
                <w:szCs w:val="21"/>
              </w:rPr>
              <w:t>周换手率居前</w:t>
            </w:r>
          </w:p>
        </w:tc>
      </w:tr>
      <w:tr w:rsidR="00EF5C8A" w:rsidRPr="00EF5C8A" w14:paraId="07FD9669" w14:textId="77777777" w:rsidTr="005C17BE">
        <w:tc>
          <w:tcPr>
            <w:tcW w:w="7513" w:type="dxa"/>
          </w:tcPr>
          <w:p w14:paraId="6E6085E5" w14:textId="751C027D" w:rsidR="00EF5C8A" w:rsidRPr="00EF5C8A" w:rsidRDefault="005C17BE" w:rsidP="00EF5C8A">
            <w:pPr>
              <w:ind w:right="2856"/>
              <w:rPr>
                <w:rFonts w:cs="Times New Roman"/>
              </w:rPr>
            </w:pPr>
            <w:r>
              <w:rPr>
                <w:noProof/>
              </w:rPr>
              <w:drawing>
                <wp:inline distT="0" distB="0" distL="0" distR="0" wp14:anchorId="4E986E58" wp14:editId="640A38F9">
                  <wp:extent cx="4387850" cy="1943100"/>
                  <wp:effectExtent l="0" t="0" r="0" b="0"/>
                  <wp:docPr id="13" name="图表 1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EF5C8A" w:rsidRPr="00EF5C8A" w14:paraId="1339508B" w14:textId="77777777" w:rsidTr="00894BF4">
        <w:tc>
          <w:tcPr>
            <w:tcW w:w="7513" w:type="dxa"/>
          </w:tcPr>
          <w:p w14:paraId="267FE322" w14:textId="5CEA7BAA" w:rsidR="00EF5C8A" w:rsidRPr="00EF5C8A" w:rsidRDefault="00A507E1" w:rsidP="00EF5C8A">
            <w:pPr>
              <w:ind w:right="2856"/>
              <w:rPr>
                <w:rFonts w:cs="Times New Roman"/>
                <w:sz w:val="18"/>
              </w:rPr>
            </w:pPr>
            <w:r>
              <w:rPr>
                <w:rFonts w:cs="Times New Roman"/>
                <w:sz w:val="18"/>
              </w:rPr>
              <w:t>数据来源</w:t>
            </w:r>
            <w:r w:rsidR="00EF5C8A" w:rsidRPr="00EF5C8A">
              <w:rPr>
                <w:rFonts w:cs="Times New Roman"/>
                <w:sz w:val="18"/>
              </w:rPr>
              <w:t>：</w:t>
            </w:r>
            <w:r w:rsidR="00EF5C8A" w:rsidRPr="00EF5C8A">
              <w:rPr>
                <w:rFonts w:cs="Times New Roman"/>
                <w:sz w:val="18"/>
              </w:rPr>
              <w:t>Wind</w:t>
            </w:r>
            <w:r w:rsidR="009E4061">
              <w:rPr>
                <w:rFonts w:cs="Times New Roman"/>
                <w:sz w:val="18"/>
              </w:rPr>
              <w:t>，</w:t>
            </w:r>
            <w:r w:rsidR="00EF5C8A" w:rsidRPr="00EF5C8A">
              <w:rPr>
                <w:rFonts w:cs="Times New Roman"/>
                <w:sz w:val="18"/>
              </w:rPr>
              <w:t>中</w:t>
            </w:r>
            <w:proofErr w:type="gramStart"/>
            <w:r w:rsidR="00EF5C8A" w:rsidRPr="00EF5C8A">
              <w:rPr>
                <w:rFonts w:cs="Times New Roman"/>
                <w:sz w:val="18"/>
              </w:rPr>
              <w:t>达证券</w:t>
            </w:r>
            <w:proofErr w:type="gramEnd"/>
            <w:r w:rsidR="00EF5C8A" w:rsidRPr="00EF5C8A">
              <w:rPr>
                <w:rFonts w:cs="Times New Roman"/>
                <w:sz w:val="18"/>
              </w:rPr>
              <w:t>研究</w:t>
            </w:r>
          </w:p>
        </w:tc>
      </w:tr>
      <w:tr w:rsidR="00EF5C8A" w:rsidRPr="00EF5C8A" w14:paraId="08A23B52" w14:textId="77777777" w:rsidTr="00894BF4">
        <w:tc>
          <w:tcPr>
            <w:tcW w:w="7513" w:type="dxa"/>
          </w:tcPr>
          <w:p w14:paraId="18D39906" w14:textId="4873751D" w:rsidR="00EF5C8A" w:rsidRPr="00EF5C8A" w:rsidRDefault="00EF5C8A" w:rsidP="00EF5C8A">
            <w:pPr>
              <w:keepNext/>
              <w:keepLines/>
              <w:spacing w:line="360" w:lineRule="auto"/>
              <w:outlineLvl w:val="1"/>
              <w:rPr>
                <w:rFonts w:cs="Times New Roman"/>
                <w:b/>
                <w:bCs/>
                <w:sz w:val="28"/>
                <w:szCs w:val="26"/>
              </w:rPr>
            </w:pPr>
            <w:r w:rsidRPr="00EF5C8A">
              <w:rPr>
                <w:rFonts w:cs="Times New Roman"/>
                <w:b/>
                <w:bCs/>
                <w:sz w:val="28"/>
                <w:szCs w:val="26"/>
              </w:rPr>
              <w:lastRenderedPageBreak/>
              <w:t>2.2</w:t>
            </w:r>
            <w:r w:rsidRPr="00EF5C8A">
              <w:rPr>
                <w:rFonts w:cs="Times New Roman" w:hint="eastAsia"/>
                <w:b/>
                <w:bCs/>
                <w:sz w:val="28"/>
                <w:szCs w:val="26"/>
              </w:rPr>
              <w:t>物业管理行业表现</w:t>
            </w:r>
          </w:p>
        </w:tc>
      </w:tr>
      <w:tr w:rsidR="00EF5C8A" w:rsidRPr="00EF5C8A" w14:paraId="37A45726" w14:textId="77777777" w:rsidTr="00894BF4">
        <w:tc>
          <w:tcPr>
            <w:tcW w:w="7513" w:type="dxa"/>
          </w:tcPr>
          <w:p w14:paraId="52CA7ED9" w14:textId="5B3123A7" w:rsidR="00EF5C8A" w:rsidRPr="00EF5C8A" w:rsidRDefault="00A46062" w:rsidP="00EF5C8A">
            <w:pPr>
              <w:ind w:right="0"/>
              <w:rPr>
                <w:rFonts w:cs="Times New Roman"/>
              </w:rPr>
            </w:pPr>
            <w:r>
              <w:rPr>
                <w:rFonts w:cs="Times New Roman" w:hint="eastAsia"/>
                <w:szCs w:val="20"/>
              </w:rPr>
              <w:t>本</w:t>
            </w:r>
            <w:r w:rsidR="00EF5C8A" w:rsidRPr="00EF5C8A">
              <w:rPr>
                <w:rFonts w:cs="Times New Roman" w:hint="eastAsia"/>
                <w:szCs w:val="20"/>
              </w:rPr>
              <w:t>周</w:t>
            </w:r>
            <w:r w:rsidR="00615271">
              <w:rPr>
                <w:rFonts w:cs="Times New Roman" w:hint="eastAsia"/>
                <w:szCs w:val="20"/>
              </w:rPr>
              <w:t>，</w:t>
            </w:r>
            <w:r w:rsidR="006D5AE5" w:rsidRPr="006D5AE5">
              <w:rPr>
                <w:rFonts w:cs="Times New Roman" w:hint="eastAsia"/>
                <w:szCs w:val="20"/>
              </w:rPr>
              <w:t>蓝光嘉宝服务、</w:t>
            </w:r>
            <w:proofErr w:type="gramStart"/>
            <w:r w:rsidR="006D5AE5" w:rsidRPr="006D5AE5">
              <w:rPr>
                <w:rFonts w:cs="Times New Roman" w:hint="eastAsia"/>
                <w:szCs w:val="20"/>
              </w:rPr>
              <w:t>鑫</w:t>
            </w:r>
            <w:proofErr w:type="gramEnd"/>
            <w:r w:rsidR="006D5AE5" w:rsidRPr="006D5AE5">
              <w:rPr>
                <w:rFonts w:cs="Times New Roman" w:hint="eastAsia"/>
                <w:szCs w:val="20"/>
              </w:rPr>
              <w:t>苑服务、宝龙</w:t>
            </w:r>
            <w:proofErr w:type="gramStart"/>
            <w:r w:rsidR="006D5AE5" w:rsidRPr="006D5AE5">
              <w:rPr>
                <w:rFonts w:cs="Times New Roman" w:hint="eastAsia"/>
                <w:szCs w:val="20"/>
              </w:rPr>
              <w:t>商业</w:t>
            </w:r>
            <w:r w:rsidR="00EF5C8A" w:rsidRPr="00EF5C8A">
              <w:rPr>
                <w:rFonts w:cs="Times New Roman" w:hint="eastAsia"/>
                <w:szCs w:val="20"/>
              </w:rPr>
              <w:t>涨幅</w:t>
            </w:r>
            <w:proofErr w:type="gramEnd"/>
            <w:r w:rsidR="00EF5C8A" w:rsidRPr="00EF5C8A">
              <w:rPr>
                <w:rFonts w:cs="Times New Roman" w:hint="eastAsia"/>
                <w:szCs w:val="20"/>
              </w:rPr>
              <w:t>居前</w:t>
            </w:r>
            <w:r w:rsidR="00EF5C8A" w:rsidRPr="00EF5C8A">
              <w:rPr>
                <w:rFonts w:cs="Times New Roman"/>
              </w:rPr>
              <w:t>。</w:t>
            </w:r>
            <w:r w:rsidRPr="00A46062">
              <w:rPr>
                <w:rFonts w:cs="Times New Roman" w:hint="eastAsia"/>
              </w:rPr>
              <w:t>永</w:t>
            </w:r>
            <w:proofErr w:type="gramStart"/>
            <w:r w:rsidRPr="00A46062">
              <w:rPr>
                <w:rFonts w:cs="Times New Roman" w:hint="eastAsia"/>
              </w:rPr>
              <w:t>升生活</w:t>
            </w:r>
            <w:proofErr w:type="gramEnd"/>
            <w:r w:rsidRPr="00A46062">
              <w:rPr>
                <w:rFonts w:cs="Times New Roman" w:hint="eastAsia"/>
              </w:rPr>
              <w:t>服务、滨江</w:t>
            </w:r>
            <w:r w:rsidR="00C841F4">
              <w:rPr>
                <w:rFonts w:cs="Times New Roman" w:hint="eastAsia"/>
              </w:rPr>
              <w:t>服务</w:t>
            </w:r>
            <w:r w:rsidRPr="00A46062">
              <w:rPr>
                <w:rFonts w:cs="Times New Roman" w:hint="eastAsia"/>
              </w:rPr>
              <w:t>、中海物业</w:t>
            </w:r>
            <w:r w:rsidR="00EF5C8A" w:rsidRPr="00EF5C8A">
              <w:rPr>
                <w:rFonts w:cs="Times New Roman" w:hint="eastAsia"/>
              </w:rPr>
              <w:t>年初至今涨幅居前</w:t>
            </w:r>
            <w:r w:rsidR="00EF5C8A" w:rsidRPr="00EF5C8A">
              <w:rPr>
                <w:rFonts w:cs="Times New Roman"/>
              </w:rPr>
              <w:t>。</w:t>
            </w:r>
          </w:p>
          <w:p w14:paraId="3D711E4D" w14:textId="77777777" w:rsidR="00EF5C8A" w:rsidRPr="00615271" w:rsidRDefault="00EF5C8A" w:rsidP="00EF5C8A">
            <w:pPr>
              <w:ind w:right="2856"/>
              <w:rPr>
                <w:rFonts w:cs="Times New Roman"/>
                <w:sz w:val="18"/>
              </w:rPr>
            </w:pPr>
          </w:p>
        </w:tc>
      </w:tr>
    </w:tbl>
    <w:tbl>
      <w:tblPr>
        <w:tblpPr w:leftFromText="180" w:rightFromText="180" w:vertAnchor="text" w:horzAnchor="margin" w:tblpY="99"/>
        <w:tblW w:w="10206" w:type="dxa"/>
        <w:tblLayout w:type="fixed"/>
        <w:tblCellMar>
          <w:left w:w="0" w:type="dxa"/>
          <w:right w:w="0" w:type="dxa"/>
        </w:tblCellMar>
        <w:tblLook w:val="04A0" w:firstRow="1" w:lastRow="0" w:firstColumn="1" w:lastColumn="0" w:noHBand="0" w:noVBand="1"/>
      </w:tblPr>
      <w:tblGrid>
        <w:gridCol w:w="4985"/>
        <w:gridCol w:w="236"/>
        <w:gridCol w:w="4985"/>
      </w:tblGrid>
      <w:tr w:rsidR="00EF5C8A" w:rsidRPr="00EF5C8A" w14:paraId="64FD0131" w14:textId="77777777" w:rsidTr="00894BF4">
        <w:tc>
          <w:tcPr>
            <w:tcW w:w="4985" w:type="dxa"/>
          </w:tcPr>
          <w:p w14:paraId="36B02B37" w14:textId="74B9ED07" w:rsidR="00EF5C8A" w:rsidRPr="00B62FC4" w:rsidRDefault="00B62FC4" w:rsidP="00B62FC4">
            <w:pPr>
              <w:pStyle w:val="ad"/>
              <w:keepNext/>
              <w:ind w:right="28"/>
              <w:rPr>
                <w:sz w:val="21"/>
                <w:szCs w:val="20"/>
              </w:rPr>
            </w:pPr>
            <w:r w:rsidRPr="00B62FC4">
              <w:rPr>
                <w:rFonts w:hint="eastAsia"/>
                <w:sz w:val="21"/>
                <w:szCs w:val="20"/>
              </w:rPr>
              <w:t>图</w:t>
            </w:r>
            <w:r w:rsidRPr="00B62FC4">
              <w:rPr>
                <w:rFonts w:hint="eastAsia"/>
                <w:sz w:val="21"/>
                <w:szCs w:val="20"/>
              </w:rPr>
              <w:t xml:space="preserve"> </w:t>
            </w:r>
            <w:r w:rsidRPr="00B62FC4">
              <w:rPr>
                <w:sz w:val="21"/>
                <w:szCs w:val="20"/>
              </w:rPr>
              <w:fldChar w:fldCharType="begin"/>
            </w:r>
            <w:r w:rsidRPr="00B62FC4">
              <w:rPr>
                <w:sz w:val="21"/>
                <w:szCs w:val="20"/>
              </w:rPr>
              <w:instrText xml:space="preserve"> </w:instrText>
            </w:r>
            <w:r w:rsidRPr="00B62FC4">
              <w:rPr>
                <w:rFonts w:hint="eastAsia"/>
                <w:sz w:val="21"/>
                <w:szCs w:val="20"/>
              </w:rPr>
              <w:instrText xml:space="preserve">SEQ </w:instrText>
            </w:r>
            <w:r w:rsidRPr="00B62FC4">
              <w:rPr>
                <w:rFonts w:hint="eastAsia"/>
                <w:sz w:val="21"/>
                <w:szCs w:val="20"/>
              </w:rPr>
              <w:instrText>图</w:instrText>
            </w:r>
            <w:r w:rsidRPr="00B62FC4">
              <w:rPr>
                <w:rFonts w:hint="eastAsia"/>
                <w:sz w:val="21"/>
                <w:szCs w:val="20"/>
              </w:rPr>
              <w:instrText xml:space="preserve"> \* ARABIC</w:instrText>
            </w:r>
            <w:r w:rsidRPr="00B62FC4">
              <w:rPr>
                <w:sz w:val="21"/>
                <w:szCs w:val="20"/>
              </w:rPr>
              <w:instrText xml:space="preserve"> </w:instrText>
            </w:r>
            <w:r w:rsidRPr="00B62FC4">
              <w:rPr>
                <w:sz w:val="21"/>
                <w:szCs w:val="20"/>
              </w:rPr>
              <w:fldChar w:fldCharType="separate"/>
            </w:r>
            <w:r w:rsidR="00DB5785">
              <w:rPr>
                <w:noProof/>
                <w:sz w:val="21"/>
                <w:szCs w:val="20"/>
              </w:rPr>
              <w:t>8</w:t>
            </w:r>
            <w:r w:rsidRPr="00B62FC4">
              <w:rPr>
                <w:sz w:val="21"/>
                <w:szCs w:val="20"/>
              </w:rPr>
              <w:fldChar w:fldCharType="end"/>
            </w:r>
            <w:r w:rsidR="00EF5C8A" w:rsidRPr="00B62FC4">
              <w:rPr>
                <w:rFonts w:cs="Times New Roman"/>
                <w:sz w:val="21"/>
                <w:szCs w:val="20"/>
              </w:rPr>
              <w:t>：</w:t>
            </w:r>
            <w:r w:rsidR="006D5AE5">
              <w:rPr>
                <w:rFonts w:cs="Times New Roman" w:hint="eastAsia"/>
                <w:sz w:val="21"/>
                <w:szCs w:val="20"/>
              </w:rPr>
              <w:t>蓝光嘉宝服务、</w:t>
            </w:r>
            <w:proofErr w:type="gramStart"/>
            <w:r w:rsidR="006D5AE5">
              <w:rPr>
                <w:rFonts w:cs="Times New Roman" w:hint="eastAsia"/>
                <w:sz w:val="21"/>
                <w:szCs w:val="20"/>
              </w:rPr>
              <w:t>鑫</w:t>
            </w:r>
            <w:proofErr w:type="gramEnd"/>
            <w:r w:rsidR="006D5AE5">
              <w:rPr>
                <w:rFonts w:cs="Times New Roman" w:hint="eastAsia"/>
                <w:sz w:val="21"/>
                <w:szCs w:val="20"/>
              </w:rPr>
              <w:t>苑服务、宝龙商业</w:t>
            </w:r>
            <w:r w:rsidR="00A46062">
              <w:rPr>
                <w:rFonts w:cs="Times New Roman" w:hint="eastAsia"/>
                <w:sz w:val="21"/>
                <w:szCs w:val="20"/>
              </w:rPr>
              <w:t>本</w:t>
            </w:r>
            <w:r w:rsidR="00EF5C8A" w:rsidRPr="00B62FC4">
              <w:rPr>
                <w:rFonts w:cs="Times New Roman" w:hint="eastAsia"/>
                <w:sz w:val="21"/>
                <w:szCs w:val="20"/>
              </w:rPr>
              <w:t>周涨幅居前</w:t>
            </w:r>
          </w:p>
        </w:tc>
        <w:tc>
          <w:tcPr>
            <w:tcW w:w="236" w:type="dxa"/>
          </w:tcPr>
          <w:p w14:paraId="1F76B1BA" w14:textId="77777777" w:rsidR="00EF5C8A" w:rsidRPr="00B62FC4" w:rsidRDefault="00EF5C8A" w:rsidP="00EF5C8A">
            <w:pPr>
              <w:spacing w:after="0"/>
              <w:rPr>
                <w:rFonts w:cs="Times New Roman"/>
                <w:b/>
                <w:szCs w:val="20"/>
              </w:rPr>
            </w:pPr>
          </w:p>
        </w:tc>
        <w:tc>
          <w:tcPr>
            <w:tcW w:w="4985" w:type="dxa"/>
          </w:tcPr>
          <w:p w14:paraId="278CF0C2" w14:textId="7988FE60" w:rsidR="00EF5C8A" w:rsidRPr="00B62FC4" w:rsidRDefault="00B62FC4" w:rsidP="00B62FC4">
            <w:pPr>
              <w:pStyle w:val="ad"/>
              <w:keepNext/>
              <w:ind w:right="0"/>
              <w:rPr>
                <w:sz w:val="21"/>
                <w:szCs w:val="20"/>
              </w:rPr>
            </w:pPr>
            <w:r w:rsidRPr="00B62FC4">
              <w:rPr>
                <w:rFonts w:hint="eastAsia"/>
                <w:sz w:val="21"/>
                <w:szCs w:val="20"/>
              </w:rPr>
              <w:t>图</w:t>
            </w:r>
            <w:r w:rsidRPr="00B62FC4">
              <w:rPr>
                <w:rFonts w:hint="eastAsia"/>
                <w:sz w:val="21"/>
                <w:szCs w:val="20"/>
              </w:rPr>
              <w:t xml:space="preserve"> </w:t>
            </w:r>
            <w:r w:rsidRPr="00B62FC4">
              <w:rPr>
                <w:sz w:val="21"/>
                <w:szCs w:val="20"/>
              </w:rPr>
              <w:fldChar w:fldCharType="begin"/>
            </w:r>
            <w:r w:rsidRPr="00B62FC4">
              <w:rPr>
                <w:sz w:val="21"/>
                <w:szCs w:val="20"/>
              </w:rPr>
              <w:instrText xml:space="preserve"> </w:instrText>
            </w:r>
            <w:r w:rsidRPr="00B62FC4">
              <w:rPr>
                <w:rFonts w:hint="eastAsia"/>
                <w:sz w:val="21"/>
                <w:szCs w:val="20"/>
              </w:rPr>
              <w:instrText xml:space="preserve">SEQ </w:instrText>
            </w:r>
            <w:r w:rsidRPr="00B62FC4">
              <w:rPr>
                <w:rFonts w:hint="eastAsia"/>
                <w:sz w:val="21"/>
                <w:szCs w:val="20"/>
              </w:rPr>
              <w:instrText>图</w:instrText>
            </w:r>
            <w:r w:rsidRPr="00B62FC4">
              <w:rPr>
                <w:rFonts w:hint="eastAsia"/>
                <w:sz w:val="21"/>
                <w:szCs w:val="20"/>
              </w:rPr>
              <w:instrText xml:space="preserve"> \* ARABIC</w:instrText>
            </w:r>
            <w:r w:rsidRPr="00B62FC4">
              <w:rPr>
                <w:sz w:val="21"/>
                <w:szCs w:val="20"/>
              </w:rPr>
              <w:instrText xml:space="preserve"> </w:instrText>
            </w:r>
            <w:r w:rsidRPr="00B62FC4">
              <w:rPr>
                <w:sz w:val="21"/>
                <w:szCs w:val="20"/>
              </w:rPr>
              <w:fldChar w:fldCharType="separate"/>
            </w:r>
            <w:r w:rsidR="00DB5785">
              <w:rPr>
                <w:noProof/>
                <w:sz w:val="21"/>
                <w:szCs w:val="20"/>
              </w:rPr>
              <w:t>9</w:t>
            </w:r>
            <w:r w:rsidRPr="00B62FC4">
              <w:rPr>
                <w:sz w:val="21"/>
                <w:szCs w:val="20"/>
              </w:rPr>
              <w:fldChar w:fldCharType="end"/>
            </w:r>
            <w:r w:rsidRPr="00B62FC4">
              <w:rPr>
                <w:rFonts w:hint="eastAsia"/>
                <w:sz w:val="21"/>
                <w:szCs w:val="20"/>
              </w:rPr>
              <w:t>：</w:t>
            </w:r>
            <w:r w:rsidR="00A46062">
              <w:rPr>
                <w:rFonts w:cs="Times New Roman" w:hint="eastAsia"/>
                <w:bCs w:val="0"/>
                <w:sz w:val="21"/>
                <w:szCs w:val="20"/>
              </w:rPr>
              <w:t>永</w:t>
            </w:r>
            <w:proofErr w:type="gramStart"/>
            <w:r w:rsidR="00A46062">
              <w:rPr>
                <w:rFonts w:cs="Times New Roman" w:hint="eastAsia"/>
                <w:bCs w:val="0"/>
                <w:sz w:val="21"/>
                <w:szCs w:val="20"/>
              </w:rPr>
              <w:t>升生活</w:t>
            </w:r>
            <w:proofErr w:type="gramEnd"/>
            <w:r w:rsidR="00A46062">
              <w:rPr>
                <w:rFonts w:cs="Times New Roman" w:hint="eastAsia"/>
                <w:bCs w:val="0"/>
                <w:sz w:val="21"/>
                <w:szCs w:val="20"/>
              </w:rPr>
              <w:t>服务、滨江</w:t>
            </w:r>
            <w:r w:rsidR="00C841F4">
              <w:rPr>
                <w:rFonts w:cs="Times New Roman" w:hint="eastAsia"/>
                <w:bCs w:val="0"/>
                <w:sz w:val="21"/>
                <w:szCs w:val="20"/>
              </w:rPr>
              <w:t>服务</w:t>
            </w:r>
            <w:r w:rsidR="00A46062">
              <w:rPr>
                <w:rFonts w:cs="Times New Roman" w:hint="eastAsia"/>
                <w:bCs w:val="0"/>
                <w:sz w:val="21"/>
                <w:szCs w:val="20"/>
              </w:rPr>
              <w:t>、中海物业</w:t>
            </w:r>
            <w:r w:rsidR="00EF5C8A" w:rsidRPr="00B62FC4">
              <w:rPr>
                <w:rFonts w:cs="Times New Roman" w:hint="eastAsia"/>
                <w:bCs w:val="0"/>
                <w:sz w:val="21"/>
                <w:szCs w:val="20"/>
              </w:rPr>
              <w:t>年初至今涨幅居前</w:t>
            </w:r>
          </w:p>
        </w:tc>
      </w:tr>
      <w:tr w:rsidR="00EF5C8A" w:rsidRPr="00EF5C8A" w14:paraId="548C7840" w14:textId="77777777" w:rsidTr="005C17BE">
        <w:tblPrEx>
          <w:tblCellMar>
            <w:left w:w="108" w:type="dxa"/>
            <w:right w:w="108" w:type="dxa"/>
          </w:tblCellMar>
        </w:tblPrEx>
        <w:tc>
          <w:tcPr>
            <w:tcW w:w="4985" w:type="dxa"/>
            <w:vAlign w:val="center"/>
          </w:tcPr>
          <w:p w14:paraId="59238FEA" w14:textId="0BCBE571" w:rsidR="00EF5C8A" w:rsidRPr="00EF5C8A" w:rsidRDefault="005C17BE" w:rsidP="00EF5C8A">
            <w:pPr>
              <w:spacing w:after="0"/>
              <w:ind w:right="0"/>
              <w:rPr>
                <w:rFonts w:cs="Times New Roman"/>
                <w:sz w:val="16"/>
                <w:szCs w:val="16"/>
              </w:rPr>
            </w:pPr>
            <w:r>
              <w:rPr>
                <w:noProof/>
              </w:rPr>
              <w:drawing>
                <wp:inline distT="0" distB="0" distL="0" distR="0" wp14:anchorId="282DD973" wp14:editId="01FBC981">
                  <wp:extent cx="3028315" cy="3032760"/>
                  <wp:effectExtent l="0" t="0" r="635" b="0"/>
                  <wp:docPr id="16" name="图表 16">
                    <a:extLst xmlns:a="http://schemas.openxmlformats.org/drawingml/2006/main">
                      <a:ext uri="{FF2B5EF4-FFF2-40B4-BE49-F238E27FC236}">
                        <a16:creationId xmlns:a16="http://schemas.microsoft.com/office/drawing/2014/main" id="{83531776-6791-4702-8B58-F558A1BF30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236" w:type="dxa"/>
            <w:vAlign w:val="center"/>
          </w:tcPr>
          <w:p w14:paraId="4454D90D" w14:textId="77777777" w:rsidR="00EF5C8A" w:rsidRPr="00EF5C8A" w:rsidRDefault="00EF5C8A" w:rsidP="00EF5C8A">
            <w:pPr>
              <w:spacing w:after="0"/>
              <w:rPr>
                <w:rFonts w:cs="Times New Roman"/>
                <w:sz w:val="16"/>
                <w:szCs w:val="16"/>
              </w:rPr>
            </w:pPr>
          </w:p>
        </w:tc>
        <w:tc>
          <w:tcPr>
            <w:tcW w:w="4985" w:type="dxa"/>
            <w:vAlign w:val="center"/>
          </w:tcPr>
          <w:p w14:paraId="0617A7C9" w14:textId="3E88CD63" w:rsidR="00EF5C8A" w:rsidRPr="00EF5C8A" w:rsidRDefault="005C17BE" w:rsidP="00EF5C8A">
            <w:pPr>
              <w:spacing w:after="0"/>
              <w:ind w:right="33"/>
              <w:rPr>
                <w:rFonts w:cs="Times New Roman"/>
                <w:sz w:val="16"/>
                <w:szCs w:val="16"/>
              </w:rPr>
            </w:pPr>
            <w:r>
              <w:rPr>
                <w:noProof/>
              </w:rPr>
              <w:drawing>
                <wp:inline distT="0" distB="0" distL="0" distR="0" wp14:anchorId="213C182C" wp14:editId="19781539">
                  <wp:extent cx="3028315" cy="3032760"/>
                  <wp:effectExtent l="0" t="0" r="635" b="0"/>
                  <wp:docPr id="17" name="图表 17">
                    <a:extLst xmlns:a="http://schemas.openxmlformats.org/drawingml/2006/main">
                      <a:ext uri="{FF2B5EF4-FFF2-40B4-BE49-F238E27FC236}">
                        <a16:creationId xmlns:a16="http://schemas.microsoft.com/office/drawing/2014/main" id="{6F154E37-3F1E-401C-AE34-D030A8C8AF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EF5C8A" w:rsidRPr="00EF5C8A" w14:paraId="34E9F88D" w14:textId="77777777" w:rsidTr="00894BF4">
        <w:tc>
          <w:tcPr>
            <w:tcW w:w="4985" w:type="dxa"/>
          </w:tcPr>
          <w:p w14:paraId="2BEE0BDD" w14:textId="026A69CC" w:rsidR="00EF5C8A" w:rsidRPr="00EF5C8A" w:rsidRDefault="00A507E1" w:rsidP="00EF5C8A">
            <w:pPr>
              <w:spacing w:after="120" w:line="240" w:lineRule="auto"/>
              <w:ind w:right="0"/>
              <w:rPr>
                <w:rFonts w:cs="Times New Roman"/>
                <w:sz w:val="18"/>
              </w:rPr>
            </w:pPr>
            <w:r>
              <w:rPr>
                <w:rFonts w:cs="Times New Roman"/>
                <w:sz w:val="18"/>
              </w:rPr>
              <w:t>数据来源</w:t>
            </w:r>
            <w:r w:rsidR="00EF5C8A" w:rsidRPr="00EF5C8A">
              <w:rPr>
                <w:rFonts w:cs="Times New Roman"/>
                <w:sz w:val="18"/>
              </w:rPr>
              <w:t>：</w:t>
            </w:r>
            <w:r w:rsidR="00EF5C8A" w:rsidRPr="00EF5C8A">
              <w:rPr>
                <w:rFonts w:cs="Times New Roman"/>
                <w:sz w:val="18"/>
              </w:rPr>
              <w:t>Wind</w:t>
            </w:r>
            <w:r w:rsidR="009E4061">
              <w:rPr>
                <w:rFonts w:cs="Times New Roman"/>
                <w:sz w:val="18"/>
              </w:rPr>
              <w:t>，</w:t>
            </w:r>
            <w:r w:rsidR="00EF5C8A" w:rsidRPr="00EF5C8A">
              <w:rPr>
                <w:rFonts w:cs="Times New Roman"/>
                <w:sz w:val="18"/>
              </w:rPr>
              <w:t>中</w:t>
            </w:r>
            <w:proofErr w:type="gramStart"/>
            <w:r w:rsidR="00EF5C8A" w:rsidRPr="00EF5C8A">
              <w:rPr>
                <w:rFonts w:cs="Times New Roman"/>
                <w:sz w:val="18"/>
              </w:rPr>
              <w:t>达证券</w:t>
            </w:r>
            <w:proofErr w:type="gramEnd"/>
            <w:r w:rsidR="00EF5C8A" w:rsidRPr="00EF5C8A">
              <w:rPr>
                <w:rFonts w:cs="Times New Roman"/>
                <w:sz w:val="18"/>
              </w:rPr>
              <w:t>研究</w:t>
            </w:r>
          </w:p>
        </w:tc>
        <w:tc>
          <w:tcPr>
            <w:tcW w:w="236" w:type="dxa"/>
          </w:tcPr>
          <w:p w14:paraId="6649E43E" w14:textId="77777777" w:rsidR="00EF5C8A" w:rsidRPr="00EF5C8A" w:rsidRDefault="00EF5C8A" w:rsidP="00EF5C8A">
            <w:pPr>
              <w:spacing w:after="0"/>
              <w:rPr>
                <w:rFonts w:cs="Times New Roman"/>
                <w:sz w:val="18"/>
              </w:rPr>
            </w:pPr>
          </w:p>
        </w:tc>
        <w:tc>
          <w:tcPr>
            <w:tcW w:w="4985" w:type="dxa"/>
          </w:tcPr>
          <w:p w14:paraId="3BC5F8E3" w14:textId="2FA9CB02" w:rsidR="00EF5C8A" w:rsidRPr="00EF5C8A" w:rsidRDefault="00A507E1" w:rsidP="00EF5C8A">
            <w:pPr>
              <w:spacing w:after="120" w:line="240" w:lineRule="auto"/>
              <w:ind w:right="0"/>
              <w:rPr>
                <w:rFonts w:cs="Times New Roman"/>
                <w:sz w:val="18"/>
              </w:rPr>
            </w:pPr>
            <w:r>
              <w:rPr>
                <w:rFonts w:cs="Times New Roman"/>
                <w:sz w:val="18"/>
              </w:rPr>
              <w:t>数据来源</w:t>
            </w:r>
            <w:r w:rsidR="00EF5C8A" w:rsidRPr="00EF5C8A">
              <w:rPr>
                <w:rFonts w:cs="Times New Roman"/>
                <w:sz w:val="18"/>
              </w:rPr>
              <w:t>：</w:t>
            </w:r>
            <w:r w:rsidR="00EF5C8A" w:rsidRPr="00EF5C8A">
              <w:rPr>
                <w:rFonts w:cs="Times New Roman"/>
                <w:sz w:val="18"/>
              </w:rPr>
              <w:t>Wind</w:t>
            </w:r>
            <w:r w:rsidR="009E4061">
              <w:rPr>
                <w:rFonts w:cs="Times New Roman"/>
                <w:sz w:val="18"/>
              </w:rPr>
              <w:t>，</w:t>
            </w:r>
            <w:r w:rsidR="00EF5C8A" w:rsidRPr="00EF5C8A">
              <w:rPr>
                <w:rFonts w:cs="Times New Roman"/>
                <w:sz w:val="18"/>
              </w:rPr>
              <w:t>中</w:t>
            </w:r>
            <w:proofErr w:type="gramStart"/>
            <w:r w:rsidR="00EF5C8A" w:rsidRPr="00EF5C8A">
              <w:rPr>
                <w:rFonts w:cs="Times New Roman"/>
                <w:sz w:val="18"/>
              </w:rPr>
              <w:t>达证券</w:t>
            </w:r>
            <w:proofErr w:type="gramEnd"/>
            <w:r w:rsidR="00EF5C8A" w:rsidRPr="00EF5C8A">
              <w:rPr>
                <w:rFonts w:cs="Times New Roman"/>
                <w:sz w:val="18"/>
              </w:rPr>
              <w:t>研究</w:t>
            </w:r>
          </w:p>
        </w:tc>
      </w:tr>
    </w:tbl>
    <w:p w14:paraId="0EF11C22" w14:textId="77777777" w:rsidR="00EF5C8A" w:rsidRPr="00EF5C8A" w:rsidRDefault="00EF5C8A" w:rsidP="00EF5C8A">
      <w:pPr>
        <w:ind w:right="2715"/>
        <w:rPr>
          <w:rFonts w:cs="Times New Roman"/>
        </w:rPr>
      </w:pPr>
    </w:p>
    <w:tbl>
      <w:tblPr>
        <w:tblStyle w:val="af"/>
        <w:tblW w:w="751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13"/>
      </w:tblGrid>
      <w:tr w:rsidR="00EF5C8A" w:rsidRPr="00EF5C8A" w14:paraId="34676135" w14:textId="77777777" w:rsidTr="00894BF4">
        <w:tc>
          <w:tcPr>
            <w:tcW w:w="7513" w:type="dxa"/>
          </w:tcPr>
          <w:p w14:paraId="52D0EED6" w14:textId="4F5BB6C2" w:rsidR="00EF5C8A" w:rsidRPr="00B62FC4" w:rsidRDefault="00B62FC4" w:rsidP="00B62FC4">
            <w:pPr>
              <w:pStyle w:val="ad"/>
              <w:keepNext/>
              <w:ind w:right="-113"/>
            </w:pPr>
            <w:r w:rsidRPr="00B62FC4">
              <w:rPr>
                <w:rFonts w:hint="eastAsia"/>
                <w:sz w:val="21"/>
                <w:szCs w:val="20"/>
              </w:rPr>
              <w:t>图</w:t>
            </w:r>
            <w:r w:rsidRPr="00B62FC4">
              <w:rPr>
                <w:rFonts w:hint="eastAsia"/>
                <w:sz w:val="21"/>
                <w:szCs w:val="20"/>
              </w:rPr>
              <w:t xml:space="preserve"> </w:t>
            </w:r>
            <w:r w:rsidRPr="00B62FC4">
              <w:rPr>
                <w:sz w:val="21"/>
                <w:szCs w:val="20"/>
              </w:rPr>
              <w:fldChar w:fldCharType="begin"/>
            </w:r>
            <w:r w:rsidRPr="00B62FC4">
              <w:rPr>
                <w:sz w:val="21"/>
                <w:szCs w:val="20"/>
              </w:rPr>
              <w:instrText xml:space="preserve"> </w:instrText>
            </w:r>
            <w:r w:rsidRPr="00B62FC4">
              <w:rPr>
                <w:rFonts w:hint="eastAsia"/>
                <w:sz w:val="21"/>
                <w:szCs w:val="20"/>
              </w:rPr>
              <w:instrText xml:space="preserve">SEQ </w:instrText>
            </w:r>
            <w:r w:rsidRPr="00B62FC4">
              <w:rPr>
                <w:rFonts w:hint="eastAsia"/>
                <w:sz w:val="21"/>
                <w:szCs w:val="20"/>
              </w:rPr>
              <w:instrText>图</w:instrText>
            </w:r>
            <w:r w:rsidRPr="00B62FC4">
              <w:rPr>
                <w:rFonts w:hint="eastAsia"/>
                <w:sz w:val="21"/>
                <w:szCs w:val="20"/>
              </w:rPr>
              <w:instrText xml:space="preserve"> \* ARABIC</w:instrText>
            </w:r>
            <w:r w:rsidRPr="00B62FC4">
              <w:rPr>
                <w:sz w:val="21"/>
                <w:szCs w:val="20"/>
              </w:rPr>
              <w:instrText xml:space="preserve"> </w:instrText>
            </w:r>
            <w:r w:rsidRPr="00B62FC4">
              <w:rPr>
                <w:sz w:val="21"/>
                <w:szCs w:val="20"/>
              </w:rPr>
              <w:fldChar w:fldCharType="separate"/>
            </w:r>
            <w:r w:rsidR="00DB5785">
              <w:rPr>
                <w:noProof/>
                <w:sz w:val="21"/>
                <w:szCs w:val="20"/>
              </w:rPr>
              <w:t>10</w:t>
            </w:r>
            <w:r w:rsidRPr="00B62FC4">
              <w:rPr>
                <w:sz w:val="21"/>
                <w:szCs w:val="20"/>
              </w:rPr>
              <w:fldChar w:fldCharType="end"/>
            </w:r>
            <w:r w:rsidR="00EF5C8A" w:rsidRPr="00B62FC4">
              <w:rPr>
                <w:rFonts w:cs="Times New Roman"/>
                <w:sz w:val="21"/>
                <w:szCs w:val="22"/>
              </w:rPr>
              <w:t>：</w:t>
            </w:r>
            <w:proofErr w:type="gramStart"/>
            <w:r w:rsidR="006D5AE5">
              <w:rPr>
                <w:rFonts w:cs="Times New Roman" w:hint="eastAsia"/>
                <w:sz w:val="21"/>
                <w:szCs w:val="22"/>
              </w:rPr>
              <w:t>奥园健康</w:t>
            </w:r>
            <w:proofErr w:type="gramEnd"/>
            <w:r w:rsidR="006D5AE5">
              <w:rPr>
                <w:rFonts w:cs="Times New Roman" w:hint="eastAsia"/>
                <w:sz w:val="21"/>
                <w:szCs w:val="22"/>
              </w:rPr>
              <w:t>、蓝光嘉宝服务、</w:t>
            </w:r>
            <w:proofErr w:type="gramStart"/>
            <w:r w:rsidR="006D5AE5">
              <w:rPr>
                <w:rFonts w:cs="Times New Roman" w:hint="eastAsia"/>
                <w:sz w:val="21"/>
                <w:szCs w:val="22"/>
              </w:rPr>
              <w:t>雅生活</w:t>
            </w:r>
            <w:proofErr w:type="gramEnd"/>
            <w:r w:rsidR="00A46062">
              <w:rPr>
                <w:rFonts w:cs="Times New Roman" w:hint="eastAsia"/>
                <w:sz w:val="21"/>
                <w:szCs w:val="22"/>
              </w:rPr>
              <w:t>本</w:t>
            </w:r>
            <w:r w:rsidR="00EF5C8A" w:rsidRPr="00B62FC4">
              <w:rPr>
                <w:rFonts w:cs="Times New Roman" w:hint="eastAsia"/>
                <w:sz w:val="21"/>
                <w:szCs w:val="22"/>
              </w:rPr>
              <w:t>周</w:t>
            </w:r>
            <w:r w:rsidR="00EF5C8A" w:rsidRPr="00B62FC4">
              <w:rPr>
                <w:rFonts w:cs="Times New Roman"/>
                <w:sz w:val="21"/>
                <w:szCs w:val="22"/>
              </w:rPr>
              <w:t>换手率居前</w:t>
            </w:r>
          </w:p>
        </w:tc>
      </w:tr>
      <w:tr w:rsidR="00EF5C8A" w:rsidRPr="00EF5C8A" w14:paraId="5DD61A68" w14:textId="77777777" w:rsidTr="005C17BE">
        <w:tc>
          <w:tcPr>
            <w:tcW w:w="7513" w:type="dxa"/>
          </w:tcPr>
          <w:p w14:paraId="7D090372" w14:textId="43FD308C" w:rsidR="00EF5C8A" w:rsidRPr="00EF5C8A" w:rsidRDefault="005C17BE" w:rsidP="00EF5C8A">
            <w:pPr>
              <w:ind w:right="2856"/>
              <w:rPr>
                <w:rFonts w:cs="Times New Roman"/>
              </w:rPr>
            </w:pPr>
            <w:r>
              <w:rPr>
                <w:noProof/>
              </w:rPr>
              <w:drawing>
                <wp:inline distT="0" distB="0" distL="0" distR="0" wp14:anchorId="633C38B5" wp14:editId="18586D65">
                  <wp:extent cx="4387850" cy="2162175"/>
                  <wp:effectExtent l="0" t="0" r="0" b="0"/>
                  <wp:docPr id="20" name="图表 20">
                    <a:extLst xmlns:a="http://schemas.openxmlformats.org/drawingml/2006/main">
                      <a:ext uri="{FF2B5EF4-FFF2-40B4-BE49-F238E27FC236}">
                        <a16:creationId xmlns:a16="http://schemas.microsoft.com/office/drawing/2014/main" id="{0E837539-709E-4E34-AE87-6A4B90FF14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EF5C8A" w:rsidRPr="00EF5C8A" w14:paraId="54F9B77F" w14:textId="77777777" w:rsidTr="00894BF4">
        <w:tc>
          <w:tcPr>
            <w:tcW w:w="7513" w:type="dxa"/>
          </w:tcPr>
          <w:p w14:paraId="79BFFA7E" w14:textId="1C1C1B9D" w:rsidR="00EF5C8A" w:rsidRPr="00EF5C8A" w:rsidRDefault="00A507E1" w:rsidP="00EF5C8A">
            <w:pPr>
              <w:ind w:right="2856"/>
              <w:rPr>
                <w:rFonts w:cs="Times New Roman"/>
              </w:rPr>
            </w:pPr>
            <w:r>
              <w:rPr>
                <w:rFonts w:cs="Times New Roman"/>
                <w:sz w:val="18"/>
              </w:rPr>
              <w:t>数据来源</w:t>
            </w:r>
            <w:r w:rsidR="00EF5C8A" w:rsidRPr="00EF5C8A">
              <w:rPr>
                <w:rFonts w:cs="Times New Roman"/>
                <w:sz w:val="18"/>
              </w:rPr>
              <w:t>：</w:t>
            </w:r>
            <w:r w:rsidR="00EF5C8A" w:rsidRPr="00EF5C8A">
              <w:rPr>
                <w:rFonts w:cs="Times New Roman"/>
                <w:sz w:val="18"/>
              </w:rPr>
              <w:t>Wind</w:t>
            </w:r>
            <w:r w:rsidR="009E4061">
              <w:rPr>
                <w:rFonts w:cs="Times New Roman"/>
                <w:sz w:val="18"/>
              </w:rPr>
              <w:t>，</w:t>
            </w:r>
            <w:r w:rsidR="00EF5C8A" w:rsidRPr="00EF5C8A">
              <w:rPr>
                <w:rFonts w:cs="Times New Roman"/>
                <w:sz w:val="18"/>
              </w:rPr>
              <w:t>中</w:t>
            </w:r>
            <w:proofErr w:type="gramStart"/>
            <w:r w:rsidR="00EF5C8A" w:rsidRPr="00EF5C8A">
              <w:rPr>
                <w:rFonts w:cs="Times New Roman"/>
                <w:sz w:val="18"/>
              </w:rPr>
              <w:t>达证券</w:t>
            </w:r>
            <w:proofErr w:type="gramEnd"/>
            <w:r w:rsidR="00EF5C8A" w:rsidRPr="00EF5C8A">
              <w:rPr>
                <w:rFonts w:cs="Times New Roman"/>
                <w:sz w:val="18"/>
              </w:rPr>
              <w:t>研究</w:t>
            </w:r>
          </w:p>
        </w:tc>
      </w:tr>
    </w:tbl>
    <w:p w14:paraId="0B016991" w14:textId="3CE2DE7C" w:rsidR="00EF5C8A" w:rsidRPr="00EF5C8A" w:rsidRDefault="00EF5C8A" w:rsidP="00EF5C8A">
      <w:pPr>
        <w:keepNext/>
        <w:keepLines/>
        <w:spacing w:before="480" w:after="0" w:line="360" w:lineRule="auto"/>
        <w:outlineLvl w:val="0"/>
        <w:rPr>
          <w:rFonts w:cs="Times New Roman"/>
          <w:b/>
          <w:bCs/>
          <w:sz w:val="40"/>
          <w:szCs w:val="28"/>
        </w:rPr>
      </w:pPr>
      <w:r w:rsidRPr="00EF5C8A">
        <w:rPr>
          <w:rFonts w:cs="Times New Roman"/>
          <w:b/>
          <w:bCs/>
          <w:sz w:val="40"/>
          <w:szCs w:val="28"/>
        </w:rPr>
        <w:lastRenderedPageBreak/>
        <w:t>3.</w:t>
      </w:r>
      <w:r w:rsidRPr="00EF5C8A">
        <w:rPr>
          <w:rFonts w:cs="Times New Roman"/>
          <w:b/>
          <w:bCs/>
          <w:sz w:val="40"/>
          <w:szCs w:val="28"/>
        </w:rPr>
        <w:t>主要城市成交表现</w:t>
      </w:r>
    </w:p>
    <w:p w14:paraId="503B9EC4" w14:textId="77777777" w:rsidR="00EF5C8A" w:rsidRPr="00EF5C8A" w:rsidRDefault="00EF5C8A" w:rsidP="00D521A5">
      <w:pPr>
        <w:keepNext/>
        <w:keepLines/>
        <w:spacing w:after="0"/>
        <w:outlineLvl w:val="1"/>
        <w:rPr>
          <w:rFonts w:cs="Times New Roman"/>
          <w:b/>
          <w:bCs/>
          <w:sz w:val="28"/>
          <w:szCs w:val="26"/>
        </w:rPr>
      </w:pPr>
      <w:r w:rsidRPr="00EF5C8A">
        <w:rPr>
          <w:rFonts w:cs="Times New Roman"/>
          <w:b/>
          <w:bCs/>
          <w:sz w:val="28"/>
          <w:szCs w:val="26"/>
        </w:rPr>
        <w:t xml:space="preserve">3.1 </w:t>
      </w:r>
      <w:r w:rsidRPr="00EF5C8A">
        <w:rPr>
          <w:rFonts w:cs="Times New Roman"/>
          <w:b/>
          <w:bCs/>
          <w:sz w:val="28"/>
          <w:szCs w:val="26"/>
        </w:rPr>
        <w:t>新房成交数据</w:t>
      </w:r>
    </w:p>
    <w:p w14:paraId="1A469CCC" w14:textId="51D34B21" w:rsidR="00EF5C8A" w:rsidRPr="00126E38" w:rsidRDefault="00EF5C8A" w:rsidP="00EF5C8A">
      <w:pPr>
        <w:spacing w:after="0" w:line="240" w:lineRule="auto"/>
        <w:contextualSpacing/>
        <w:rPr>
          <w:rFonts w:cs="Times New Roman"/>
          <w:b/>
          <w:bCs/>
          <w:szCs w:val="20"/>
        </w:rPr>
      </w:pPr>
      <w:r w:rsidRPr="00126E38">
        <w:rPr>
          <w:rFonts w:cs="Times New Roman" w:hint="eastAsia"/>
          <w:b/>
          <w:bCs/>
          <w:szCs w:val="20"/>
        </w:rPr>
        <w:t>表</w:t>
      </w:r>
      <w:r w:rsidRPr="00126E38">
        <w:rPr>
          <w:rFonts w:cs="Times New Roman" w:hint="eastAsia"/>
          <w:b/>
          <w:bCs/>
          <w:szCs w:val="20"/>
        </w:rPr>
        <w:t xml:space="preserve"> </w:t>
      </w:r>
      <w:r w:rsidRPr="00126E38">
        <w:rPr>
          <w:rFonts w:cs="Times New Roman"/>
          <w:b/>
          <w:bCs/>
          <w:szCs w:val="20"/>
        </w:rPr>
        <w:fldChar w:fldCharType="begin"/>
      </w:r>
      <w:r w:rsidRPr="00126E38">
        <w:rPr>
          <w:rFonts w:cs="Times New Roman"/>
          <w:b/>
          <w:bCs/>
          <w:szCs w:val="20"/>
        </w:rPr>
        <w:instrText xml:space="preserve"> </w:instrText>
      </w:r>
      <w:r w:rsidRPr="00126E38">
        <w:rPr>
          <w:rFonts w:cs="Times New Roman" w:hint="eastAsia"/>
          <w:b/>
          <w:bCs/>
          <w:szCs w:val="20"/>
        </w:rPr>
        <w:instrText xml:space="preserve">SEQ </w:instrText>
      </w:r>
      <w:r w:rsidRPr="00126E38">
        <w:rPr>
          <w:rFonts w:cs="Times New Roman" w:hint="eastAsia"/>
          <w:b/>
          <w:bCs/>
          <w:szCs w:val="20"/>
        </w:rPr>
        <w:instrText>表</w:instrText>
      </w:r>
      <w:r w:rsidRPr="00126E38">
        <w:rPr>
          <w:rFonts w:cs="Times New Roman" w:hint="eastAsia"/>
          <w:b/>
          <w:bCs/>
          <w:szCs w:val="20"/>
        </w:rPr>
        <w:instrText xml:space="preserve"> \* ARABIC</w:instrText>
      </w:r>
      <w:r w:rsidRPr="00126E38">
        <w:rPr>
          <w:rFonts w:cs="Times New Roman"/>
          <w:b/>
          <w:bCs/>
          <w:szCs w:val="20"/>
        </w:rPr>
        <w:instrText xml:space="preserve"> </w:instrText>
      </w:r>
      <w:r w:rsidRPr="00126E38">
        <w:rPr>
          <w:rFonts w:cs="Times New Roman"/>
          <w:b/>
          <w:bCs/>
          <w:szCs w:val="20"/>
        </w:rPr>
        <w:fldChar w:fldCharType="separate"/>
      </w:r>
      <w:r w:rsidR="00DB5785">
        <w:rPr>
          <w:rFonts w:cs="Times New Roman"/>
          <w:b/>
          <w:bCs/>
          <w:noProof/>
          <w:szCs w:val="20"/>
        </w:rPr>
        <w:t>5</w:t>
      </w:r>
      <w:r w:rsidRPr="00126E38">
        <w:rPr>
          <w:rFonts w:cs="Times New Roman"/>
          <w:b/>
          <w:bCs/>
          <w:szCs w:val="20"/>
        </w:rPr>
        <w:fldChar w:fldCharType="end"/>
      </w:r>
      <w:r w:rsidRPr="00126E38">
        <w:rPr>
          <w:rFonts w:cs="Times New Roman"/>
          <w:b/>
          <w:bCs/>
          <w:szCs w:val="20"/>
        </w:rPr>
        <w:t xml:space="preserve">: </w:t>
      </w:r>
      <w:r w:rsidRPr="00126E38">
        <w:rPr>
          <w:rFonts w:cs="Times New Roman"/>
          <w:b/>
          <w:bCs/>
          <w:szCs w:val="20"/>
        </w:rPr>
        <w:t>主要城市交易量情况，</w:t>
      </w:r>
      <w:r w:rsidR="006518B1">
        <w:rPr>
          <w:rFonts w:cs="Times New Roman" w:hint="eastAsia"/>
          <w:b/>
          <w:bCs/>
          <w:szCs w:val="20"/>
        </w:rPr>
        <w:t>上</w:t>
      </w:r>
      <w:r w:rsidRPr="00126E38">
        <w:rPr>
          <w:rFonts w:cs="Times New Roman"/>
          <w:b/>
          <w:bCs/>
          <w:szCs w:val="20"/>
        </w:rPr>
        <w:t>周新房成交</w:t>
      </w:r>
      <w:r w:rsidR="00C2009D">
        <w:rPr>
          <w:rFonts w:cs="Times New Roman" w:hint="eastAsia"/>
          <w:b/>
          <w:bCs/>
          <w:szCs w:val="20"/>
        </w:rPr>
        <w:t>环比回升</w:t>
      </w:r>
    </w:p>
    <w:tbl>
      <w:tblPr>
        <w:tblW w:w="10206" w:type="dxa"/>
        <w:tblLook w:val="04A0" w:firstRow="1" w:lastRow="0" w:firstColumn="1" w:lastColumn="0" w:noHBand="0" w:noVBand="1"/>
      </w:tblPr>
      <w:tblGrid>
        <w:gridCol w:w="1501"/>
        <w:gridCol w:w="1051"/>
        <w:gridCol w:w="750"/>
        <w:gridCol w:w="901"/>
        <w:gridCol w:w="753"/>
        <w:gridCol w:w="800"/>
        <w:gridCol w:w="705"/>
        <w:gridCol w:w="743"/>
        <w:gridCol w:w="705"/>
        <w:gridCol w:w="705"/>
        <w:gridCol w:w="841"/>
        <w:gridCol w:w="751"/>
      </w:tblGrid>
      <w:tr w:rsidR="0064654E" w:rsidRPr="0064654E" w14:paraId="45F2C68B" w14:textId="77777777" w:rsidTr="0064654E">
        <w:trPr>
          <w:trHeight w:val="20"/>
        </w:trPr>
        <w:tc>
          <w:tcPr>
            <w:tcW w:w="1418" w:type="dxa"/>
            <w:tcBorders>
              <w:top w:val="nil"/>
              <w:left w:val="nil"/>
              <w:bottom w:val="nil"/>
              <w:right w:val="nil"/>
            </w:tcBorders>
            <w:shd w:val="clear" w:color="000000" w:fill="FFFFFF"/>
            <w:noWrap/>
            <w:vAlign w:val="bottom"/>
            <w:hideMark/>
          </w:tcPr>
          <w:p w14:paraId="0B9C5483" w14:textId="77777777" w:rsidR="0064654E" w:rsidRPr="0064654E" w:rsidRDefault="0064654E" w:rsidP="0064654E">
            <w:pPr>
              <w:spacing w:after="0" w:line="240" w:lineRule="auto"/>
              <w:ind w:right="0"/>
              <w:jc w:val="left"/>
              <w:rPr>
                <w:rFonts w:eastAsia="宋体" w:cs="Times New Roman"/>
                <w:color w:val="000000"/>
                <w:sz w:val="18"/>
                <w:szCs w:val="18"/>
              </w:rPr>
            </w:pPr>
            <w:r w:rsidRPr="0064654E">
              <w:rPr>
                <w:rFonts w:eastAsia="宋体" w:cs="Times New Roman"/>
                <w:color w:val="000000"/>
                <w:sz w:val="18"/>
                <w:szCs w:val="18"/>
              </w:rPr>
              <w:t xml:space="preserve">　</w:t>
            </w:r>
          </w:p>
        </w:tc>
        <w:tc>
          <w:tcPr>
            <w:tcW w:w="2552" w:type="dxa"/>
            <w:gridSpan w:val="3"/>
            <w:tcBorders>
              <w:top w:val="nil"/>
              <w:left w:val="single" w:sz="4" w:space="0" w:color="auto"/>
              <w:bottom w:val="nil"/>
              <w:right w:val="nil"/>
            </w:tcBorders>
            <w:shd w:val="clear" w:color="000000" w:fill="FFFFFF"/>
            <w:noWrap/>
            <w:vAlign w:val="bottom"/>
            <w:hideMark/>
          </w:tcPr>
          <w:p w14:paraId="0762D7DF"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过去</w:t>
            </w:r>
            <w:r w:rsidRPr="0064654E">
              <w:rPr>
                <w:rFonts w:eastAsia="宋体" w:cs="Times New Roman"/>
                <w:b/>
                <w:bCs/>
                <w:color w:val="000000"/>
                <w:sz w:val="18"/>
                <w:szCs w:val="18"/>
              </w:rPr>
              <w:t>7</w:t>
            </w:r>
            <w:r w:rsidRPr="0064654E">
              <w:rPr>
                <w:rFonts w:ascii="楷体" w:hAnsi="楷体" w:cs="Times New Roman" w:hint="eastAsia"/>
                <w:b/>
                <w:bCs/>
                <w:color w:val="000000"/>
                <w:sz w:val="18"/>
                <w:szCs w:val="18"/>
              </w:rPr>
              <w:t>日</w:t>
            </w:r>
          </w:p>
        </w:tc>
        <w:tc>
          <w:tcPr>
            <w:tcW w:w="2133" w:type="dxa"/>
            <w:gridSpan w:val="3"/>
            <w:tcBorders>
              <w:top w:val="nil"/>
              <w:left w:val="single" w:sz="4" w:space="0" w:color="auto"/>
              <w:bottom w:val="nil"/>
              <w:right w:val="nil"/>
            </w:tcBorders>
            <w:shd w:val="clear" w:color="000000" w:fill="FFFFFF"/>
            <w:noWrap/>
            <w:vAlign w:val="bottom"/>
            <w:hideMark/>
          </w:tcPr>
          <w:p w14:paraId="760034E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过去</w:t>
            </w:r>
            <w:r w:rsidRPr="0064654E">
              <w:rPr>
                <w:rFonts w:eastAsia="宋体" w:cs="Times New Roman"/>
                <w:b/>
                <w:bCs/>
                <w:color w:val="000000"/>
                <w:sz w:val="18"/>
                <w:szCs w:val="18"/>
              </w:rPr>
              <w:t>30</w:t>
            </w:r>
            <w:r w:rsidRPr="0064654E">
              <w:rPr>
                <w:rFonts w:ascii="楷体" w:hAnsi="楷体" w:cs="Times New Roman" w:hint="eastAsia"/>
                <w:b/>
                <w:bCs/>
                <w:color w:val="000000"/>
                <w:sz w:val="18"/>
                <w:szCs w:val="18"/>
              </w:rPr>
              <w:t>日</w:t>
            </w:r>
          </w:p>
        </w:tc>
        <w:tc>
          <w:tcPr>
            <w:tcW w:w="2034" w:type="dxa"/>
            <w:gridSpan w:val="3"/>
            <w:tcBorders>
              <w:top w:val="nil"/>
              <w:left w:val="single" w:sz="4" w:space="0" w:color="auto"/>
              <w:bottom w:val="nil"/>
              <w:right w:val="nil"/>
            </w:tcBorders>
            <w:shd w:val="clear" w:color="000000" w:fill="FFFFFF"/>
            <w:noWrap/>
            <w:vAlign w:val="bottom"/>
            <w:hideMark/>
          </w:tcPr>
          <w:p w14:paraId="00FAE9F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本月截至</w:t>
            </w:r>
            <w:r w:rsidRPr="0064654E">
              <w:rPr>
                <w:rFonts w:eastAsia="宋体" w:cs="Times New Roman"/>
                <w:b/>
                <w:bCs/>
                <w:color w:val="000000"/>
                <w:sz w:val="18"/>
                <w:szCs w:val="18"/>
              </w:rPr>
              <w:t xml:space="preserve"> 4-3</w:t>
            </w:r>
          </w:p>
        </w:tc>
        <w:tc>
          <w:tcPr>
            <w:tcW w:w="1503" w:type="dxa"/>
            <w:gridSpan w:val="2"/>
            <w:tcBorders>
              <w:top w:val="nil"/>
              <w:left w:val="single" w:sz="4" w:space="0" w:color="auto"/>
              <w:bottom w:val="nil"/>
              <w:right w:val="nil"/>
            </w:tcBorders>
            <w:shd w:val="clear" w:color="000000" w:fill="FFFFFF"/>
            <w:noWrap/>
            <w:vAlign w:val="bottom"/>
            <w:hideMark/>
          </w:tcPr>
          <w:p w14:paraId="34EEBDC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本年截至</w:t>
            </w:r>
            <w:r w:rsidRPr="0064654E">
              <w:rPr>
                <w:rFonts w:eastAsia="宋体" w:cs="Times New Roman"/>
                <w:b/>
                <w:bCs/>
                <w:color w:val="000000"/>
                <w:sz w:val="18"/>
                <w:szCs w:val="18"/>
              </w:rPr>
              <w:t xml:space="preserve"> 4-3</w:t>
            </w:r>
          </w:p>
        </w:tc>
      </w:tr>
      <w:tr w:rsidR="0064654E" w:rsidRPr="0064654E" w14:paraId="2656F19F" w14:textId="77777777" w:rsidTr="0064654E">
        <w:trPr>
          <w:trHeight w:val="20"/>
        </w:trPr>
        <w:tc>
          <w:tcPr>
            <w:tcW w:w="1418" w:type="dxa"/>
            <w:tcBorders>
              <w:top w:val="nil"/>
              <w:left w:val="nil"/>
              <w:bottom w:val="single" w:sz="8" w:space="0" w:color="C00000"/>
              <w:right w:val="nil"/>
            </w:tcBorders>
            <w:shd w:val="clear" w:color="000000" w:fill="FFFFFF"/>
            <w:noWrap/>
            <w:vAlign w:val="bottom"/>
            <w:hideMark/>
          </w:tcPr>
          <w:p w14:paraId="0DB7ACA3"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城市</w:t>
            </w:r>
            <w:r w:rsidRPr="0064654E">
              <w:rPr>
                <w:rFonts w:eastAsia="宋体" w:cs="Times New Roman"/>
                <w:b/>
                <w:bCs/>
                <w:color w:val="000000"/>
                <w:sz w:val="18"/>
                <w:szCs w:val="18"/>
              </w:rPr>
              <w:t xml:space="preserve"> / </w:t>
            </w:r>
            <w:r w:rsidRPr="0064654E">
              <w:rPr>
                <w:rFonts w:ascii="楷体" w:hAnsi="楷体" w:cs="Times New Roman" w:hint="eastAsia"/>
                <w:b/>
                <w:bCs/>
                <w:color w:val="000000"/>
                <w:sz w:val="18"/>
                <w:szCs w:val="18"/>
              </w:rPr>
              <w:t>区域</w:t>
            </w:r>
          </w:p>
        </w:tc>
        <w:tc>
          <w:tcPr>
            <w:tcW w:w="993" w:type="dxa"/>
            <w:tcBorders>
              <w:top w:val="nil"/>
              <w:left w:val="single" w:sz="4" w:space="0" w:color="auto"/>
              <w:bottom w:val="single" w:sz="8" w:space="0" w:color="C00000"/>
              <w:right w:val="nil"/>
            </w:tcBorders>
            <w:shd w:val="clear" w:color="000000" w:fill="FFFFFF"/>
            <w:noWrap/>
            <w:vAlign w:val="bottom"/>
            <w:hideMark/>
          </w:tcPr>
          <w:p w14:paraId="5A6694D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平方米</w:t>
            </w:r>
          </w:p>
        </w:tc>
        <w:tc>
          <w:tcPr>
            <w:tcW w:w="708" w:type="dxa"/>
            <w:tcBorders>
              <w:top w:val="nil"/>
              <w:left w:val="nil"/>
              <w:bottom w:val="single" w:sz="8" w:space="0" w:color="C00000"/>
              <w:right w:val="nil"/>
            </w:tcBorders>
            <w:shd w:val="clear" w:color="000000" w:fill="FFFFFF"/>
            <w:noWrap/>
            <w:vAlign w:val="bottom"/>
            <w:hideMark/>
          </w:tcPr>
          <w:p w14:paraId="2C68318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环比</w:t>
            </w:r>
          </w:p>
        </w:tc>
        <w:tc>
          <w:tcPr>
            <w:tcW w:w="851" w:type="dxa"/>
            <w:tcBorders>
              <w:top w:val="nil"/>
              <w:left w:val="nil"/>
              <w:bottom w:val="single" w:sz="8" w:space="0" w:color="C00000"/>
              <w:right w:val="nil"/>
            </w:tcBorders>
            <w:shd w:val="clear" w:color="000000" w:fill="FFFFFF"/>
            <w:noWrap/>
            <w:vAlign w:val="bottom"/>
            <w:hideMark/>
          </w:tcPr>
          <w:p w14:paraId="3441D25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同比</w:t>
            </w:r>
          </w:p>
        </w:tc>
        <w:tc>
          <w:tcPr>
            <w:tcW w:w="711" w:type="dxa"/>
            <w:tcBorders>
              <w:top w:val="nil"/>
              <w:left w:val="single" w:sz="4" w:space="0" w:color="auto"/>
              <w:bottom w:val="single" w:sz="8" w:space="0" w:color="C00000"/>
              <w:right w:val="nil"/>
            </w:tcBorders>
            <w:shd w:val="clear" w:color="000000" w:fill="FFFFFF"/>
            <w:noWrap/>
            <w:vAlign w:val="bottom"/>
            <w:hideMark/>
          </w:tcPr>
          <w:p w14:paraId="5C2EADC4" w14:textId="54764176" w:rsidR="0064654E" w:rsidRPr="0064654E" w:rsidRDefault="0064654E" w:rsidP="0064654E">
            <w:pPr>
              <w:spacing w:after="0" w:line="240" w:lineRule="auto"/>
              <w:ind w:right="0"/>
              <w:jc w:val="center"/>
              <w:rPr>
                <w:rFonts w:eastAsia="宋体" w:cs="Times New Roman"/>
                <w:b/>
                <w:bCs/>
                <w:color w:val="000000"/>
                <w:sz w:val="18"/>
                <w:szCs w:val="18"/>
              </w:rPr>
            </w:pPr>
            <w:proofErr w:type="gramStart"/>
            <w:r w:rsidRPr="0064654E">
              <w:rPr>
                <w:rFonts w:ascii="楷体" w:hAnsi="楷体" w:cs="Times New Roman" w:hint="eastAsia"/>
                <w:b/>
                <w:bCs/>
                <w:color w:val="000000"/>
                <w:sz w:val="18"/>
                <w:szCs w:val="18"/>
              </w:rPr>
              <w:t>千平</w:t>
            </w:r>
            <w:proofErr w:type="gramEnd"/>
          </w:p>
        </w:tc>
        <w:tc>
          <w:tcPr>
            <w:tcW w:w="756" w:type="dxa"/>
            <w:tcBorders>
              <w:top w:val="nil"/>
              <w:left w:val="nil"/>
              <w:bottom w:val="single" w:sz="8" w:space="0" w:color="C00000"/>
              <w:right w:val="nil"/>
            </w:tcBorders>
            <w:shd w:val="clear" w:color="000000" w:fill="FFFFFF"/>
            <w:noWrap/>
            <w:vAlign w:val="bottom"/>
            <w:hideMark/>
          </w:tcPr>
          <w:p w14:paraId="05CD1C7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环比</w:t>
            </w:r>
          </w:p>
        </w:tc>
        <w:tc>
          <w:tcPr>
            <w:tcW w:w="666" w:type="dxa"/>
            <w:tcBorders>
              <w:top w:val="nil"/>
              <w:left w:val="nil"/>
              <w:bottom w:val="single" w:sz="8" w:space="0" w:color="C00000"/>
              <w:right w:val="nil"/>
            </w:tcBorders>
            <w:shd w:val="clear" w:color="000000" w:fill="FFFFFF"/>
            <w:noWrap/>
            <w:vAlign w:val="bottom"/>
            <w:hideMark/>
          </w:tcPr>
          <w:p w14:paraId="28C98FB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同比</w:t>
            </w:r>
          </w:p>
        </w:tc>
        <w:tc>
          <w:tcPr>
            <w:tcW w:w="702" w:type="dxa"/>
            <w:tcBorders>
              <w:top w:val="nil"/>
              <w:left w:val="single" w:sz="4" w:space="0" w:color="auto"/>
              <w:bottom w:val="single" w:sz="8" w:space="0" w:color="C00000"/>
              <w:right w:val="nil"/>
            </w:tcBorders>
            <w:shd w:val="clear" w:color="000000" w:fill="FFFFFF"/>
            <w:noWrap/>
            <w:vAlign w:val="bottom"/>
            <w:hideMark/>
          </w:tcPr>
          <w:p w14:paraId="579A5550" w14:textId="19D852DA" w:rsidR="0064654E" w:rsidRPr="0064654E" w:rsidRDefault="0064654E" w:rsidP="0064654E">
            <w:pPr>
              <w:spacing w:after="0" w:line="240" w:lineRule="auto"/>
              <w:ind w:right="0"/>
              <w:jc w:val="center"/>
              <w:rPr>
                <w:rFonts w:eastAsia="宋体" w:cs="Times New Roman"/>
                <w:b/>
                <w:bCs/>
                <w:color w:val="000000"/>
                <w:sz w:val="18"/>
                <w:szCs w:val="18"/>
              </w:rPr>
            </w:pPr>
            <w:proofErr w:type="gramStart"/>
            <w:r w:rsidRPr="0064654E">
              <w:rPr>
                <w:rFonts w:ascii="楷体" w:hAnsi="楷体" w:cs="Times New Roman" w:hint="eastAsia"/>
                <w:b/>
                <w:bCs/>
                <w:color w:val="000000"/>
                <w:sz w:val="18"/>
                <w:szCs w:val="18"/>
              </w:rPr>
              <w:t>千平</w:t>
            </w:r>
            <w:proofErr w:type="gramEnd"/>
          </w:p>
        </w:tc>
        <w:tc>
          <w:tcPr>
            <w:tcW w:w="666" w:type="dxa"/>
            <w:tcBorders>
              <w:top w:val="nil"/>
              <w:left w:val="nil"/>
              <w:bottom w:val="single" w:sz="8" w:space="0" w:color="C00000"/>
              <w:right w:val="nil"/>
            </w:tcBorders>
            <w:shd w:val="clear" w:color="000000" w:fill="FFFFFF"/>
            <w:noWrap/>
            <w:vAlign w:val="bottom"/>
            <w:hideMark/>
          </w:tcPr>
          <w:p w14:paraId="56C7BA0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环比</w:t>
            </w:r>
          </w:p>
        </w:tc>
        <w:tc>
          <w:tcPr>
            <w:tcW w:w="666" w:type="dxa"/>
            <w:tcBorders>
              <w:top w:val="nil"/>
              <w:left w:val="nil"/>
              <w:bottom w:val="single" w:sz="8" w:space="0" w:color="C00000"/>
              <w:right w:val="nil"/>
            </w:tcBorders>
            <w:shd w:val="clear" w:color="000000" w:fill="FFFFFF"/>
            <w:noWrap/>
            <w:vAlign w:val="bottom"/>
            <w:hideMark/>
          </w:tcPr>
          <w:p w14:paraId="473766F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同比</w:t>
            </w:r>
          </w:p>
        </w:tc>
        <w:tc>
          <w:tcPr>
            <w:tcW w:w="794" w:type="dxa"/>
            <w:tcBorders>
              <w:top w:val="nil"/>
              <w:left w:val="single" w:sz="4" w:space="0" w:color="auto"/>
              <w:bottom w:val="single" w:sz="8" w:space="0" w:color="C00000"/>
              <w:right w:val="nil"/>
            </w:tcBorders>
            <w:shd w:val="clear" w:color="000000" w:fill="FFFFFF"/>
            <w:noWrap/>
            <w:vAlign w:val="bottom"/>
            <w:hideMark/>
          </w:tcPr>
          <w:p w14:paraId="3376112F" w14:textId="782EC99D" w:rsidR="0064654E" w:rsidRPr="0064654E" w:rsidRDefault="0064654E" w:rsidP="0064654E">
            <w:pPr>
              <w:spacing w:after="0" w:line="240" w:lineRule="auto"/>
              <w:ind w:right="0"/>
              <w:jc w:val="center"/>
              <w:rPr>
                <w:rFonts w:eastAsia="宋体" w:cs="Times New Roman"/>
                <w:b/>
                <w:bCs/>
                <w:color w:val="000000"/>
                <w:sz w:val="18"/>
                <w:szCs w:val="18"/>
              </w:rPr>
            </w:pPr>
            <w:proofErr w:type="gramStart"/>
            <w:r w:rsidRPr="0064654E">
              <w:rPr>
                <w:rFonts w:ascii="楷体" w:hAnsi="楷体" w:cs="Times New Roman" w:hint="eastAsia"/>
                <w:b/>
                <w:bCs/>
                <w:color w:val="000000"/>
                <w:sz w:val="18"/>
                <w:szCs w:val="18"/>
              </w:rPr>
              <w:t>千平</w:t>
            </w:r>
            <w:proofErr w:type="gramEnd"/>
          </w:p>
        </w:tc>
        <w:tc>
          <w:tcPr>
            <w:tcW w:w="709" w:type="dxa"/>
            <w:tcBorders>
              <w:top w:val="nil"/>
              <w:left w:val="nil"/>
              <w:bottom w:val="single" w:sz="8" w:space="0" w:color="C00000"/>
              <w:right w:val="nil"/>
            </w:tcBorders>
            <w:shd w:val="clear" w:color="000000" w:fill="FFFFFF"/>
            <w:noWrap/>
            <w:vAlign w:val="bottom"/>
            <w:hideMark/>
          </w:tcPr>
          <w:p w14:paraId="537E10C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同比</w:t>
            </w:r>
          </w:p>
        </w:tc>
      </w:tr>
      <w:tr w:rsidR="0064654E" w:rsidRPr="0064654E" w14:paraId="06BC5009" w14:textId="77777777" w:rsidTr="0064654E">
        <w:trPr>
          <w:trHeight w:val="20"/>
        </w:trPr>
        <w:tc>
          <w:tcPr>
            <w:tcW w:w="1418" w:type="dxa"/>
            <w:tcBorders>
              <w:top w:val="nil"/>
              <w:left w:val="nil"/>
              <w:bottom w:val="nil"/>
              <w:right w:val="nil"/>
            </w:tcBorders>
            <w:shd w:val="clear" w:color="auto" w:fill="auto"/>
            <w:noWrap/>
            <w:vAlign w:val="bottom"/>
            <w:hideMark/>
          </w:tcPr>
          <w:p w14:paraId="70802B3D" w14:textId="77777777" w:rsidR="0064654E" w:rsidRPr="0064654E" w:rsidRDefault="0064654E" w:rsidP="0064654E">
            <w:pPr>
              <w:spacing w:after="0" w:line="240" w:lineRule="auto"/>
              <w:ind w:right="0" w:firstLineChars="100" w:firstLine="180"/>
              <w:jc w:val="left"/>
              <w:rPr>
                <w:rFonts w:eastAsia="宋体" w:cs="Times New Roman"/>
                <w:color w:val="000000"/>
                <w:sz w:val="18"/>
                <w:szCs w:val="18"/>
              </w:rPr>
            </w:pPr>
            <w:r w:rsidRPr="0064654E">
              <w:rPr>
                <w:rFonts w:ascii="楷体" w:hAnsi="楷体" w:cs="Times New Roman" w:hint="eastAsia"/>
                <w:color w:val="000000"/>
                <w:sz w:val="18"/>
                <w:szCs w:val="18"/>
              </w:rPr>
              <w:t>北京</w:t>
            </w:r>
          </w:p>
        </w:tc>
        <w:tc>
          <w:tcPr>
            <w:tcW w:w="993" w:type="dxa"/>
            <w:tcBorders>
              <w:top w:val="nil"/>
              <w:left w:val="single" w:sz="4" w:space="0" w:color="auto"/>
              <w:bottom w:val="nil"/>
              <w:right w:val="nil"/>
            </w:tcBorders>
            <w:shd w:val="clear" w:color="auto" w:fill="auto"/>
            <w:noWrap/>
            <w:vAlign w:val="bottom"/>
            <w:hideMark/>
          </w:tcPr>
          <w:p w14:paraId="0007B222"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75,874</w:t>
            </w:r>
          </w:p>
        </w:tc>
        <w:tc>
          <w:tcPr>
            <w:tcW w:w="708" w:type="dxa"/>
            <w:tcBorders>
              <w:top w:val="nil"/>
              <w:left w:val="nil"/>
              <w:bottom w:val="nil"/>
              <w:right w:val="nil"/>
            </w:tcBorders>
            <w:shd w:val="clear" w:color="auto" w:fill="auto"/>
            <w:noWrap/>
            <w:vAlign w:val="bottom"/>
            <w:hideMark/>
          </w:tcPr>
          <w:p w14:paraId="4249764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w:t>
            </w:r>
          </w:p>
        </w:tc>
        <w:tc>
          <w:tcPr>
            <w:tcW w:w="851" w:type="dxa"/>
            <w:tcBorders>
              <w:top w:val="nil"/>
              <w:left w:val="nil"/>
              <w:bottom w:val="nil"/>
              <w:right w:val="nil"/>
            </w:tcBorders>
            <w:shd w:val="clear" w:color="auto" w:fill="auto"/>
            <w:noWrap/>
            <w:vAlign w:val="bottom"/>
            <w:hideMark/>
          </w:tcPr>
          <w:p w14:paraId="174B56EA"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-53%</w:t>
            </w:r>
          </w:p>
        </w:tc>
        <w:tc>
          <w:tcPr>
            <w:tcW w:w="711" w:type="dxa"/>
            <w:tcBorders>
              <w:top w:val="nil"/>
              <w:left w:val="single" w:sz="4" w:space="0" w:color="auto"/>
              <w:bottom w:val="nil"/>
              <w:right w:val="nil"/>
            </w:tcBorders>
            <w:shd w:val="clear" w:color="auto" w:fill="auto"/>
            <w:noWrap/>
            <w:vAlign w:val="bottom"/>
            <w:hideMark/>
          </w:tcPr>
          <w:p w14:paraId="40521D4F"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271</w:t>
            </w:r>
          </w:p>
        </w:tc>
        <w:tc>
          <w:tcPr>
            <w:tcW w:w="756" w:type="dxa"/>
            <w:tcBorders>
              <w:top w:val="nil"/>
              <w:left w:val="nil"/>
              <w:bottom w:val="nil"/>
              <w:right w:val="nil"/>
            </w:tcBorders>
            <w:shd w:val="clear" w:color="auto" w:fill="auto"/>
            <w:noWrap/>
            <w:vAlign w:val="bottom"/>
            <w:hideMark/>
          </w:tcPr>
          <w:p w14:paraId="293B326C"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51%</w:t>
            </w:r>
          </w:p>
        </w:tc>
        <w:tc>
          <w:tcPr>
            <w:tcW w:w="666" w:type="dxa"/>
            <w:tcBorders>
              <w:top w:val="nil"/>
              <w:left w:val="nil"/>
              <w:bottom w:val="nil"/>
              <w:right w:val="nil"/>
            </w:tcBorders>
            <w:shd w:val="clear" w:color="auto" w:fill="auto"/>
            <w:noWrap/>
            <w:vAlign w:val="bottom"/>
            <w:hideMark/>
          </w:tcPr>
          <w:p w14:paraId="5F0A211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-69%</w:t>
            </w:r>
          </w:p>
        </w:tc>
        <w:tc>
          <w:tcPr>
            <w:tcW w:w="702" w:type="dxa"/>
            <w:tcBorders>
              <w:top w:val="nil"/>
              <w:left w:val="single" w:sz="4" w:space="0" w:color="auto"/>
              <w:bottom w:val="nil"/>
              <w:right w:val="nil"/>
            </w:tcBorders>
            <w:shd w:val="clear" w:color="auto" w:fill="auto"/>
            <w:noWrap/>
            <w:vAlign w:val="bottom"/>
            <w:hideMark/>
          </w:tcPr>
          <w:p w14:paraId="22A4509D"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29</w:t>
            </w:r>
          </w:p>
        </w:tc>
        <w:tc>
          <w:tcPr>
            <w:tcW w:w="666" w:type="dxa"/>
            <w:tcBorders>
              <w:top w:val="nil"/>
              <w:left w:val="nil"/>
              <w:bottom w:val="nil"/>
              <w:right w:val="nil"/>
            </w:tcBorders>
            <w:shd w:val="clear" w:color="auto" w:fill="auto"/>
            <w:noWrap/>
            <w:vAlign w:val="bottom"/>
            <w:hideMark/>
          </w:tcPr>
          <w:p w14:paraId="14B5680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116%</w:t>
            </w:r>
          </w:p>
        </w:tc>
        <w:tc>
          <w:tcPr>
            <w:tcW w:w="666" w:type="dxa"/>
            <w:tcBorders>
              <w:top w:val="nil"/>
              <w:left w:val="nil"/>
              <w:bottom w:val="nil"/>
              <w:right w:val="nil"/>
            </w:tcBorders>
            <w:shd w:val="clear" w:color="auto" w:fill="auto"/>
            <w:noWrap/>
            <w:vAlign w:val="bottom"/>
            <w:hideMark/>
          </w:tcPr>
          <w:p w14:paraId="0E64E25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-37%</w:t>
            </w:r>
          </w:p>
        </w:tc>
        <w:tc>
          <w:tcPr>
            <w:tcW w:w="794" w:type="dxa"/>
            <w:tcBorders>
              <w:top w:val="nil"/>
              <w:left w:val="single" w:sz="4" w:space="0" w:color="auto"/>
              <w:bottom w:val="nil"/>
              <w:right w:val="nil"/>
            </w:tcBorders>
            <w:shd w:val="clear" w:color="auto" w:fill="auto"/>
            <w:noWrap/>
            <w:vAlign w:val="bottom"/>
            <w:hideMark/>
          </w:tcPr>
          <w:p w14:paraId="4F4ABDA6"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1,004</w:t>
            </w:r>
          </w:p>
        </w:tc>
        <w:tc>
          <w:tcPr>
            <w:tcW w:w="709" w:type="dxa"/>
            <w:tcBorders>
              <w:top w:val="nil"/>
              <w:left w:val="nil"/>
              <w:bottom w:val="nil"/>
              <w:right w:val="nil"/>
            </w:tcBorders>
            <w:shd w:val="clear" w:color="auto" w:fill="auto"/>
            <w:noWrap/>
            <w:vAlign w:val="bottom"/>
            <w:hideMark/>
          </w:tcPr>
          <w:p w14:paraId="015A780E"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-38%</w:t>
            </w:r>
          </w:p>
        </w:tc>
      </w:tr>
      <w:tr w:rsidR="0064654E" w:rsidRPr="0064654E" w14:paraId="14F2B87F" w14:textId="77777777" w:rsidTr="0064654E">
        <w:trPr>
          <w:trHeight w:val="20"/>
        </w:trPr>
        <w:tc>
          <w:tcPr>
            <w:tcW w:w="1418" w:type="dxa"/>
            <w:tcBorders>
              <w:top w:val="nil"/>
              <w:left w:val="nil"/>
              <w:bottom w:val="nil"/>
              <w:right w:val="nil"/>
            </w:tcBorders>
            <w:shd w:val="clear" w:color="auto" w:fill="auto"/>
            <w:noWrap/>
            <w:vAlign w:val="bottom"/>
            <w:hideMark/>
          </w:tcPr>
          <w:p w14:paraId="01571D6D" w14:textId="77777777" w:rsidR="0064654E" w:rsidRPr="0064654E" w:rsidRDefault="0064654E" w:rsidP="0064654E">
            <w:pPr>
              <w:spacing w:after="0" w:line="240" w:lineRule="auto"/>
              <w:ind w:right="0" w:firstLineChars="100" w:firstLine="180"/>
              <w:jc w:val="left"/>
              <w:rPr>
                <w:rFonts w:eastAsia="宋体" w:cs="Times New Roman"/>
                <w:color w:val="000000"/>
                <w:sz w:val="18"/>
                <w:szCs w:val="18"/>
              </w:rPr>
            </w:pPr>
            <w:r w:rsidRPr="0064654E">
              <w:rPr>
                <w:rFonts w:ascii="楷体" w:hAnsi="楷体" w:cs="Times New Roman" w:hint="eastAsia"/>
                <w:color w:val="000000"/>
                <w:sz w:val="18"/>
                <w:szCs w:val="18"/>
              </w:rPr>
              <w:t>上海</w:t>
            </w:r>
            <w:r w:rsidRPr="0064654E">
              <w:rPr>
                <w:rFonts w:eastAsia="宋体" w:cs="Times New Roman"/>
                <w:color w:val="000000"/>
                <w:sz w:val="18"/>
                <w:szCs w:val="18"/>
              </w:rPr>
              <w:t xml:space="preserve"> </w:t>
            </w:r>
          </w:p>
        </w:tc>
        <w:tc>
          <w:tcPr>
            <w:tcW w:w="993" w:type="dxa"/>
            <w:tcBorders>
              <w:top w:val="nil"/>
              <w:left w:val="single" w:sz="4" w:space="0" w:color="auto"/>
              <w:bottom w:val="nil"/>
              <w:right w:val="nil"/>
            </w:tcBorders>
            <w:shd w:val="clear" w:color="auto" w:fill="auto"/>
            <w:noWrap/>
            <w:vAlign w:val="bottom"/>
            <w:hideMark/>
          </w:tcPr>
          <w:p w14:paraId="06108766"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235,300</w:t>
            </w:r>
          </w:p>
        </w:tc>
        <w:tc>
          <w:tcPr>
            <w:tcW w:w="708" w:type="dxa"/>
            <w:tcBorders>
              <w:top w:val="nil"/>
              <w:left w:val="nil"/>
              <w:bottom w:val="nil"/>
              <w:right w:val="nil"/>
            </w:tcBorders>
            <w:shd w:val="clear" w:color="auto" w:fill="auto"/>
            <w:noWrap/>
            <w:vAlign w:val="bottom"/>
            <w:hideMark/>
          </w:tcPr>
          <w:p w14:paraId="43271701"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21%</w:t>
            </w:r>
          </w:p>
        </w:tc>
        <w:tc>
          <w:tcPr>
            <w:tcW w:w="851" w:type="dxa"/>
            <w:tcBorders>
              <w:top w:val="nil"/>
              <w:left w:val="nil"/>
              <w:bottom w:val="nil"/>
              <w:right w:val="nil"/>
            </w:tcBorders>
            <w:shd w:val="clear" w:color="auto" w:fill="auto"/>
            <w:noWrap/>
            <w:vAlign w:val="bottom"/>
            <w:hideMark/>
          </w:tcPr>
          <w:p w14:paraId="4DAA5EDE"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-29%</w:t>
            </w:r>
          </w:p>
        </w:tc>
        <w:tc>
          <w:tcPr>
            <w:tcW w:w="711" w:type="dxa"/>
            <w:tcBorders>
              <w:top w:val="nil"/>
              <w:left w:val="single" w:sz="4" w:space="0" w:color="auto"/>
              <w:bottom w:val="nil"/>
              <w:right w:val="nil"/>
            </w:tcBorders>
            <w:shd w:val="clear" w:color="auto" w:fill="auto"/>
            <w:noWrap/>
            <w:vAlign w:val="bottom"/>
            <w:hideMark/>
          </w:tcPr>
          <w:p w14:paraId="1C06573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739</w:t>
            </w:r>
          </w:p>
        </w:tc>
        <w:tc>
          <w:tcPr>
            <w:tcW w:w="756" w:type="dxa"/>
            <w:tcBorders>
              <w:top w:val="nil"/>
              <w:left w:val="nil"/>
              <w:bottom w:val="nil"/>
              <w:right w:val="nil"/>
            </w:tcBorders>
            <w:shd w:val="clear" w:color="auto" w:fill="auto"/>
            <w:noWrap/>
            <w:vAlign w:val="bottom"/>
            <w:hideMark/>
          </w:tcPr>
          <w:p w14:paraId="3A4CE0C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187%</w:t>
            </w:r>
          </w:p>
        </w:tc>
        <w:tc>
          <w:tcPr>
            <w:tcW w:w="666" w:type="dxa"/>
            <w:tcBorders>
              <w:top w:val="nil"/>
              <w:left w:val="nil"/>
              <w:bottom w:val="nil"/>
              <w:right w:val="nil"/>
            </w:tcBorders>
            <w:shd w:val="clear" w:color="auto" w:fill="auto"/>
            <w:noWrap/>
            <w:vAlign w:val="bottom"/>
            <w:hideMark/>
          </w:tcPr>
          <w:p w14:paraId="325704AF"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-44%</w:t>
            </w:r>
          </w:p>
        </w:tc>
        <w:tc>
          <w:tcPr>
            <w:tcW w:w="702" w:type="dxa"/>
            <w:tcBorders>
              <w:top w:val="nil"/>
              <w:left w:val="single" w:sz="4" w:space="0" w:color="auto"/>
              <w:bottom w:val="nil"/>
              <w:right w:val="nil"/>
            </w:tcBorders>
            <w:shd w:val="clear" w:color="auto" w:fill="auto"/>
            <w:noWrap/>
            <w:vAlign w:val="bottom"/>
            <w:hideMark/>
          </w:tcPr>
          <w:p w14:paraId="4F5B8CBC"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87</w:t>
            </w:r>
          </w:p>
        </w:tc>
        <w:tc>
          <w:tcPr>
            <w:tcW w:w="666" w:type="dxa"/>
            <w:tcBorders>
              <w:top w:val="nil"/>
              <w:left w:val="nil"/>
              <w:bottom w:val="nil"/>
              <w:right w:val="nil"/>
            </w:tcBorders>
            <w:shd w:val="clear" w:color="auto" w:fill="auto"/>
            <w:noWrap/>
            <w:vAlign w:val="bottom"/>
            <w:hideMark/>
          </w:tcPr>
          <w:p w14:paraId="0632D60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54%</w:t>
            </w:r>
          </w:p>
        </w:tc>
        <w:tc>
          <w:tcPr>
            <w:tcW w:w="666" w:type="dxa"/>
            <w:tcBorders>
              <w:top w:val="nil"/>
              <w:left w:val="nil"/>
              <w:bottom w:val="nil"/>
              <w:right w:val="nil"/>
            </w:tcBorders>
            <w:shd w:val="clear" w:color="auto" w:fill="auto"/>
            <w:noWrap/>
            <w:vAlign w:val="bottom"/>
            <w:hideMark/>
          </w:tcPr>
          <w:p w14:paraId="67487F56"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-30%</w:t>
            </w:r>
          </w:p>
        </w:tc>
        <w:tc>
          <w:tcPr>
            <w:tcW w:w="794" w:type="dxa"/>
            <w:tcBorders>
              <w:top w:val="nil"/>
              <w:left w:val="single" w:sz="4" w:space="0" w:color="auto"/>
              <w:bottom w:val="nil"/>
              <w:right w:val="nil"/>
            </w:tcBorders>
            <w:shd w:val="clear" w:color="auto" w:fill="auto"/>
            <w:noWrap/>
            <w:vAlign w:val="bottom"/>
            <w:hideMark/>
          </w:tcPr>
          <w:p w14:paraId="6349EF11"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1,775</w:t>
            </w:r>
          </w:p>
        </w:tc>
        <w:tc>
          <w:tcPr>
            <w:tcW w:w="709" w:type="dxa"/>
            <w:tcBorders>
              <w:top w:val="nil"/>
              <w:left w:val="nil"/>
              <w:bottom w:val="nil"/>
              <w:right w:val="nil"/>
            </w:tcBorders>
            <w:shd w:val="clear" w:color="auto" w:fill="auto"/>
            <w:noWrap/>
            <w:vAlign w:val="bottom"/>
            <w:hideMark/>
          </w:tcPr>
          <w:p w14:paraId="26653D7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-45%</w:t>
            </w:r>
          </w:p>
        </w:tc>
      </w:tr>
      <w:tr w:rsidR="0064654E" w:rsidRPr="0064654E" w14:paraId="4B4F024C" w14:textId="77777777" w:rsidTr="0064654E">
        <w:trPr>
          <w:trHeight w:val="20"/>
        </w:trPr>
        <w:tc>
          <w:tcPr>
            <w:tcW w:w="1418" w:type="dxa"/>
            <w:tcBorders>
              <w:top w:val="nil"/>
              <w:left w:val="nil"/>
              <w:bottom w:val="nil"/>
              <w:right w:val="nil"/>
            </w:tcBorders>
            <w:shd w:val="clear" w:color="auto" w:fill="auto"/>
            <w:noWrap/>
            <w:vAlign w:val="bottom"/>
            <w:hideMark/>
          </w:tcPr>
          <w:p w14:paraId="3E9CAC90" w14:textId="77777777" w:rsidR="0064654E" w:rsidRPr="0064654E" w:rsidRDefault="0064654E" w:rsidP="0064654E">
            <w:pPr>
              <w:spacing w:after="0" w:line="240" w:lineRule="auto"/>
              <w:ind w:right="0" w:firstLineChars="100" w:firstLine="180"/>
              <w:jc w:val="left"/>
              <w:rPr>
                <w:rFonts w:eastAsia="宋体" w:cs="Times New Roman"/>
                <w:color w:val="000000"/>
                <w:sz w:val="18"/>
                <w:szCs w:val="18"/>
              </w:rPr>
            </w:pPr>
            <w:r w:rsidRPr="0064654E">
              <w:rPr>
                <w:rFonts w:ascii="楷体" w:hAnsi="楷体" w:cs="Times New Roman" w:hint="eastAsia"/>
                <w:color w:val="000000"/>
                <w:sz w:val="18"/>
                <w:szCs w:val="18"/>
              </w:rPr>
              <w:t>广州</w:t>
            </w:r>
          </w:p>
        </w:tc>
        <w:tc>
          <w:tcPr>
            <w:tcW w:w="993" w:type="dxa"/>
            <w:tcBorders>
              <w:top w:val="nil"/>
              <w:left w:val="single" w:sz="4" w:space="0" w:color="auto"/>
              <w:bottom w:val="nil"/>
              <w:right w:val="nil"/>
            </w:tcBorders>
            <w:shd w:val="clear" w:color="auto" w:fill="auto"/>
            <w:noWrap/>
            <w:vAlign w:val="bottom"/>
            <w:hideMark/>
          </w:tcPr>
          <w:p w14:paraId="1B94F4A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206,083</w:t>
            </w:r>
          </w:p>
        </w:tc>
        <w:tc>
          <w:tcPr>
            <w:tcW w:w="708" w:type="dxa"/>
            <w:tcBorders>
              <w:top w:val="nil"/>
              <w:left w:val="nil"/>
              <w:bottom w:val="nil"/>
              <w:right w:val="nil"/>
            </w:tcBorders>
            <w:shd w:val="clear" w:color="auto" w:fill="auto"/>
            <w:noWrap/>
            <w:vAlign w:val="bottom"/>
            <w:hideMark/>
          </w:tcPr>
          <w:p w14:paraId="3C7A19BC"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16%</w:t>
            </w:r>
          </w:p>
        </w:tc>
        <w:tc>
          <w:tcPr>
            <w:tcW w:w="851" w:type="dxa"/>
            <w:tcBorders>
              <w:top w:val="nil"/>
              <w:left w:val="nil"/>
              <w:bottom w:val="nil"/>
              <w:right w:val="nil"/>
            </w:tcBorders>
            <w:shd w:val="clear" w:color="auto" w:fill="auto"/>
            <w:noWrap/>
            <w:vAlign w:val="bottom"/>
            <w:hideMark/>
          </w:tcPr>
          <w:p w14:paraId="333A193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-24%</w:t>
            </w:r>
          </w:p>
        </w:tc>
        <w:tc>
          <w:tcPr>
            <w:tcW w:w="711" w:type="dxa"/>
            <w:tcBorders>
              <w:top w:val="nil"/>
              <w:left w:val="single" w:sz="4" w:space="0" w:color="auto"/>
              <w:bottom w:val="nil"/>
              <w:right w:val="nil"/>
            </w:tcBorders>
            <w:shd w:val="clear" w:color="auto" w:fill="auto"/>
            <w:noWrap/>
            <w:vAlign w:val="bottom"/>
            <w:hideMark/>
          </w:tcPr>
          <w:p w14:paraId="56E522C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624</w:t>
            </w:r>
          </w:p>
        </w:tc>
        <w:tc>
          <w:tcPr>
            <w:tcW w:w="756" w:type="dxa"/>
            <w:tcBorders>
              <w:top w:val="nil"/>
              <w:left w:val="nil"/>
              <w:bottom w:val="nil"/>
              <w:right w:val="nil"/>
            </w:tcBorders>
            <w:shd w:val="clear" w:color="auto" w:fill="auto"/>
            <w:noWrap/>
            <w:vAlign w:val="bottom"/>
            <w:hideMark/>
          </w:tcPr>
          <w:p w14:paraId="2F72F133"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258%</w:t>
            </w:r>
          </w:p>
        </w:tc>
        <w:tc>
          <w:tcPr>
            <w:tcW w:w="666" w:type="dxa"/>
            <w:tcBorders>
              <w:top w:val="nil"/>
              <w:left w:val="nil"/>
              <w:bottom w:val="nil"/>
              <w:right w:val="nil"/>
            </w:tcBorders>
            <w:shd w:val="clear" w:color="auto" w:fill="auto"/>
            <w:noWrap/>
            <w:vAlign w:val="bottom"/>
            <w:hideMark/>
          </w:tcPr>
          <w:p w14:paraId="679BF602"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-35%</w:t>
            </w:r>
          </w:p>
        </w:tc>
        <w:tc>
          <w:tcPr>
            <w:tcW w:w="702" w:type="dxa"/>
            <w:tcBorders>
              <w:top w:val="nil"/>
              <w:left w:val="single" w:sz="4" w:space="0" w:color="auto"/>
              <w:bottom w:val="nil"/>
              <w:right w:val="nil"/>
            </w:tcBorders>
            <w:shd w:val="clear" w:color="auto" w:fill="auto"/>
            <w:noWrap/>
            <w:vAlign w:val="bottom"/>
            <w:hideMark/>
          </w:tcPr>
          <w:p w14:paraId="6539ABAD"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49</w:t>
            </w:r>
          </w:p>
        </w:tc>
        <w:tc>
          <w:tcPr>
            <w:tcW w:w="666" w:type="dxa"/>
            <w:tcBorders>
              <w:top w:val="nil"/>
              <w:left w:val="nil"/>
              <w:bottom w:val="nil"/>
              <w:right w:val="nil"/>
            </w:tcBorders>
            <w:shd w:val="clear" w:color="auto" w:fill="auto"/>
            <w:noWrap/>
            <w:vAlign w:val="bottom"/>
            <w:hideMark/>
          </w:tcPr>
          <w:p w14:paraId="707BFCD6"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96%</w:t>
            </w:r>
          </w:p>
        </w:tc>
        <w:tc>
          <w:tcPr>
            <w:tcW w:w="666" w:type="dxa"/>
            <w:tcBorders>
              <w:top w:val="nil"/>
              <w:left w:val="nil"/>
              <w:bottom w:val="nil"/>
              <w:right w:val="nil"/>
            </w:tcBorders>
            <w:shd w:val="clear" w:color="auto" w:fill="auto"/>
            <w:noWrap/>
            <w:vAlign w:val="bottom"/>
            <w:hideMark/>
          </w:tcPr>
          <w:p w14:paraId="5F9F9AA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-36%</w:t>
            </w:r>
          </w:p>
        </w:tc>
        <w:tc>
          <w:tcPr>
            <w:tcW w:w="794" w:type="dxa"/>
            <w:tcBorders>
              <w:top w:val="nil"/>
              <w:left w:val="single" w:sz="4" w:space="0" w:color="auto"/>
              <w:bottom w:val="nil"/>
              <w:right w:val="nil"/>
            </w:tcBorders>
            <w:shd w:val="clear" w:color="auto" w:fill="auto"/>
            <w:noWrap/>
            <w:vAlign w:val="bottom"/>
            <w:hideMark/>
          </w:tcPr>
          <w:p w14:paraId="08FCA45B"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1,152</w:t>
            </w:r>
          </w:p>
        </w:tc>
        <w:tc>
          <w:tcPr>
            <w:tcW w:w="709" w:type="dxa"/>
            <w:tcBorders>
              <w:top w:val="nil"/>
              <w:left w:val="nil"/>
              <w:bottom w:val="nil"/>
              <w:right w:val="nil"/>
            </w:tcBorders>
            <w:shd w:val="clear" w:color="auto" w:fill="auto"/>
            <w:noWrap/>
            <w:vAlign w:val="bottom"/>
            <w:hideMark/>
          </w:tcPr>
          <w:p w14:paraId="5F39E69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-41%</w:t>
            </w:r>
          </w:p>
        </w:tc>
      </w:tr>
      <w:tr w:rsidR="0064654E" w:rsidRPr="0064654E" w14:paraId="381C740D" w14:textId="77777777" w:rsidTr="0064654E">
        <w:trPr>
          <w:trHeight w:val="20"/>
        </w:trPr>
        <w:tc>
          <w:tcPr>
            <w:tcW w:w="1418" w:type="dxa"/>
            <w:tcBorders>
              <w:top w:val="nil"/>
              <w:left w:val="nil"/>
              <w:bottom w:val="nil"/>
              <w:right w:val="nil"/>
            </w:tcBorders>
            <w:shd w:val="clear" w:color="auto" w:fill="auto"/>
            <w:noWrap/>
            <w:vAlign w:val="bottom"/>
            <w:hideMark/>
          </w:tcPr>
          <w:p w14:paraId="3117EB3C" w14:textId="77777777" w:rsidR="0064654E" w:rsidRPr="0064654E" w:rsidRDefault="0064654E" w:rsidP="0064654E">
            <w:pPr>
              <w:spacing w:after="0" w:line="240" w:lineRule="auto"/>
              <w:ind w:right="0" w:firstLineChars="100" w:firstLine="180"/>
              <w:jc w:val="left"/>
              <w:rPr>
                <w:rFonts w:eastAsia="宋体" w:cs="Times New Roman"/>
                <w:color w:val="000000"/>
                <w:sz w:val="18"/>
                <w:szCs w:val="18"/>
              </w:rPr>
            </w:pPr>
            <w:r w:rsidRPr="0064654E">
              <w:rPr>
                <w:rFonts w:ascii="楷体" w:hAnsi="楷体" w:cs="Times New Roman" w:hint="eastAsia"/>
                <w:color w:val="000000"/>
                <w:sz w:val="18"/>
                <w:szCs w:val="18"/>
              </w:rPr>
              <w:t>深圳</w:t>
            </w:r>
          </w:p>
        </w:tc>
        <w:tc>
          <w:tcPr>
            <w:tcW w:w="993" w:type="dxa"/>
            <w:tcBorders>
              <w:top w:val="nil"/>
              <w:left w:val="single" w:sz="4" w:space="0" w:color="auto"/>
              <w:bottom w:val="nil"/>
              <w:right w:val="nil"/>
            </w:tcBorders>
            <w:shd w:val="clear" w:color="auto" w:fill="auto"/>
            <w:noWrap/>
            <w:vAlign w:val="bottom"/>
            <w:hideMark/>
          </w:tcPr>
          <w:p w14:paraId="7DA83D8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68,391</w:t>
            </w:r>
          </w:p>
        </w:tc>
        <w:tc>
          <w:tcPr>
            <w:tcW w:w="708" w:type="dxa"/>
            <w:tcBorders>
              <w:top w:val="nil"/>
              <w:left w:val="nil"/>
              <w:bottom w:val="nil"/>
              <w:right w:val="nil"/>
            </w:tcBorders>
            <w:shd w:val="clear" w:color="auto" w:fill="auto"/>
            <w:noWrap/>
            <w:vAlign w:val="bottom"/>
            <w:hideMark/>
          </w:tcPr>
          <w:p w14:paraId="3A4D50FD"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12%</w:t>
            </w:r>
          </w:p>
        </w:tc>
        <w:tc>
          <w:tcPr>
            <w:tcW w:w="851" w:type="dxa"/>
            <w:tcBorders>
              <w:top w:val="nil"/>
              <w:left w:val="nil"/>
              <w:bottom w:val="nil"/>
              <w:right w:val="nil"/>
            </w:tcBorders>
            <w:shd w:val="clear" w:color="auto" w:fill="auto"/>
            <w:noWrap/>
            <w:vAlign w:val="bottom"/>
            <w:hideMark/>
          </w:tcPr>
          <w:p w14:paraId="4328D7F2"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10%</w:t>
            </w:r>
          </w:p>
        </w:tc>
        <w:tc>
          <w:tcPr>
            <w:tcW w:w="711" w:type="dxa"/>
            <w:tcBorders>
              <w:top w:val="nil"/>
              <w:left w:val="single" w:sz="4" w:space="0" w:color="auto"/>
              <w:bottom w:val="nil"/>
              <w:right w:val="nil"/>
            </w:tcBorders>
            <w:shd w:val="clear" w:color="auto" w:fill="auto"/>
            <w:noWrap/>
            <w:vAlign w:val="bottom"/>
            <w:hideMark/>
          </w:tcPr>
          <w:p w14:paraId="10F1372F"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332</w:t>
            </w:r>
          </w:p>
        </w:tc>
        <w:tc>
          <w:tcPr>
            <w:tcW w:w="756" w:type="dxa"/>
            <w:tcBorders>
              <w:top w:val="nil"/>
              <w:left w:val="nil"/>
              <w:bottom w:val="nil"/>
              <w:right w:val="nil"/>
            </w:tcBorders>
            <w:shd w:val="clear" w:color="auto" w:fill="auto"/>
            <w:noWrap/>
            <w:vAlign w:val="bottom"/>
            <w:hideMark/>
          </w:tcPr>
          <w:p w14:paraId="10DEB881"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183%</w:t>
            </w:r>
          </w:p>
        </w:tc>
        <w:tc>
          <w:tcPr>
            <w:tcW w:w="666" w:type="dxa"/>
            <w:tcBorders>
              <w:top w:val="nil"/>
              <w:left w:val="nil"/>
              <w:bottom w:val="nil"/>
              <w:right w:val="nil"/>
            </w:tcBorders>
            <w:shd w:val="clear" w:color="auto" w:fill="auto"/>
            <w:noWrap/>
            <w:vAlign w:val="bottom"/>
            <w:hideMark/>
          </w:tcPr>
          <w:p w14:paraId="4B58E9B4"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9%</w:t>
            </w:r>
          </w:p>
        </w:tc>
        <w:tc>
          <w:tcPr>
            <w:tcW w:w="702" w:type="dxa"/>
            <w:tcBorders>
              <w:top w:val="nil"/>
              <w:left w:val="single" w:sz="4" w:space="0" w:color="auto"/>
              <w:bottom w:val="nil"/>
              <w:right w:val="nil"/>
            </w:tcBorders>
            <w:shd w:val="clear" w:color="auto" w:fill="auto"/>
            <w:noWrap/>
            <w:vAlign w:val="bottom"/>
            <w:hideMark/>
          </w:tcPr>
          <w:p w14:paraId="2D0A8B1D"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41</w:t>
            </w:r>
          </w:p>
        </w:tc>
        <w:tc>
          <w:tcPr>
            <w:tcW w:w="666" w:type="dxa"/>
            <w:tcBorders>
              <w:top w:val="nil"/>
              <w:left w:val="nil"/>
              <w:bottom w:val="nil"/>
              <w:right w:val="nil"/>
            </w:tcBorders>
            <w:shd w:val="clear" w:color="auto" w:fill="auto"/>
            <w:noWrap/>
            <w:vAlign w:val="bottom"/>
            <w:hideMark/>
          </w:tcPr>
          <w:p w14:paraId="0887A08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56%</w:t>
            </w:r>
          </w:p>
        </w:tc>
        <w:tc>
          <w:tcPr>
            <w:tcW w:w="666" w:type="dxa"/>
            <w:tcBorders>
              <w:top w:val="nil"/>
              <w:left w:val="nil"/>
              <w:bottom w:val="nil"/>
              <w:right w:val="nil"/>
            </w:tcBorders>
            <w:shd w:val="clear" w:color="auto" w:fill="auto"/>
            <w:noWrap/>
            <w:vAlign w:val="bottom"/>
            <w:hideMark/>
          </w:tcPr>
          <w:p w14:paraId="5625BEA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27%</w:t>
            </w:r>
          </w:p>
        </w:tc>
        <w:tc>
          <w:tcPr>
            <w:tcW w:w="794" w:type="dxa"/>
            <w:tcBorders>
              <w:top w:val="nil"/>
              <w:left w:val="single" w:sz="4" w:space="0" w:color="auto"/>
              <w:bottom w:val="nil"/>
              <w:right w:val="nil"/>
            </w:tcBorders>
            <w:shd w:val="clear" w:color="auto" w:fill="auto"/>
            <w:noWrap/>
            <w:vAlign w:val="bottom"/>
            <w:hideMark/>
          </w:tcPr>
          <w:p w14:paraId="010F9FDB"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736</w:t>
            </w:r>
          </w:p>
        </w:tc>
        <w:tc>
          <w:tcPr>
            <w:tcW w:w="709" w:type="dxa"/>
            <w:tcBorders>
              <w:top w:val="nil"/>
              <w:left w:val="nil"/>
              <w:bottom w:val="nil"/>
              <w:right w:val="nil"/>
            </w:tcBorders>
            <w:shd w:val="clear" w:color="auto" w:fill="auto"/>
            <w:noWrap/>
            <w:vAlign w:val="bottom"/>
            <w:hideMark/>
          </w:tcPr>
          <w:p w14:paraId="4F7434DA"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w:t>
            </w:r>
          </w:p>
        </w:tc>
      </w:tr>
      <w:tr w:rsidR="0064654E" w:rsidRPr="0064654E" w14:paraId="5CF67DB2" w14:textId="77777777" w:rsidTr="0064654E">
        <w:trPr>
          <w:trHeight w:val="20"/>
        </w:trPr>
        <w:tc>
          <w:tcPr>
            <w:tcW w:w="1418" w:type="dxa"/>
            <w:tcBorders>
              <w:top w:val="nil"/>
              <w:left w:val="nil"/>
              <w:bottom w:val="nil"/>
              <w:right w:val="nil"/>
            </w:tcBorders>
            <w:shd w:val="clear" w:color="000000" w:fill="D9D9D9"/>
            <w:noWrap/>
            <w:vAlign w:val="bottom"/>
            <w:hideMark/>
          </w:tcPr>
          <w:p w14:paraId="369CE865"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一线城市</w:t>
            </w:r>
          </w:p>
        </w:tc>
        <w:tc>
          <w:tcPr>
            <w:tcW w:w="993" w:type="dxa"/>
            <w:tcBorders>
              <w:top w:val="nil"/>
              <w:left w:val="single" w:sz="4" w:space="0" w:color="auto"/>
              <w:bottom w:val="nil"/>
              <w:right w:val="nil"/>
            </w:tcBorders>
            <w:shd w:val="clear" w:color="000000" w:fill="D9D9D9"/>
            <w:noWrap/>
            <w:vAlign w:val="bottom"/>
            <w:hideMark/>
          </w:tcPr>
          <w:p w14:paraId="3C8C4415"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585,649</w:t>
            </w:r>
          </w:p>
        </w:tc>
        <w:tc>
          <w:tcPr>
            <w:tcW w:w="708" w:type="dxa"/>
            <w:tcBorders>
              <w:top w:val="nil"/>
              <w:left w:val="nil"/>
              <w:bottom w:val="nil"/>
              <w:right w:val="nil"/>
            </w:tcBorders>
            <w:shd w:val="clear" w:color="000000" w:fill="D9D9D9"/>
            <w:noWrap/>
            <w:vAlign w:val="bottom"/>
            <w:hideMark/>
          </w:tcPr>
          <w:p w14:paraId="6C1CA7D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16%</w:t>
            </w:r>
          </w:p>
        </w:tc>
        <w:tc>
          <w:tcPr>
            <w:tcW w:w="851" w:type="dxa"/>
            <w:tcBorders>
              <w:top w:val="nil"/>
              <w:left w:val="nil"/>
              <w:bottom w:val="nil"/>
              <w:right w:val="nil"/>
            </w:tcBorders>
            <w:shd w:val="clear" w:color="000000" w:fill="D9D9D9"/>
            <w:noWrap/>
            <w:vAlign w:val="bottom"/>
            <w:hideMark/>
          </w:tcPr>
          <w:p w14:paraId="2260485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-29%</w:t>
            </w:r>
          </w:p>
        </w:tc>
        <w:tc>
          <w:tcPr>
            <w:tcW w:w="711" w:type="dxa"/>
            <w:tcBorders>
              <w:top w:val="nil"/>
              <w:left w:val="single" w:sz="4" w:space="0" w:color="auto"/>
              <w:bottom w:val="nil"/>
              <w:right w:val="nil"/>
            </w:tcBorders>
            <w:shd w:val="clear" w:color="000000" w:fill="D9D9D9"/>
            <w:noWrap/>
            <w:vAlign w:val="bottom"/>
            <w:hideMark/>
          </w:tcPr>
          <w:p w14:paraId="62C2F11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1,966</w:t>
            </w:r>
          </w:p>
        </w:tc>
        <w:tc>
          <w:tcPr>
            <w:tcW w:w="756" w:type="dxa"/>
            <w:tcBorders>
              <w:top w:val="nil"/>
              <w:left w:val="nil"/>
              <w:bottom w:val="nil"/>
              <w:right w:val="nil"/>
            </w:tcBorders>
            <w:shd w:val="clear" w:color="000000" w:fill="D9D9D9"/>
            <w:noWrap/>
            <w:vAlign w:val="bottom"/>
            <w:hideMark/>
          </w:tcPr>
          <w:p w14:paraId="6BA8CD6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170%</w:t>
            </w:r>
          </w:p>
        </w:tc>
        <w:tc>
          <w:tcPr>
            <w:tcW w:w="666" w:type="dxa"/>
            <w:tcBorders>
              <w:top w:val="nil"/>
              <w:left w:val="nil"/>
              <w:bottom w:val="nil"/>
              <w:right w:val="nil"/>
            </w:tcBorders>
            <w:shd w:val="clear" w:color="000000" w:fill="D9D9D9"/>
            <w:noWrap/>
            <w:vAlign w:val="bottom"/>
            <w:hideMark/>
          </w:tcPr>
          <w:p w14:paraId="45DC1F5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-43%</w:t>
            </w:r>
          </w:p>
        </w:tc>
        <w:tc>
          <w:tcPr>
            <w:tcW w:w="702" w:type="dxa"/>
            <w:tcBorders>
              <w:top w:val="nil"/>
              <w:left w:val="single" w:sz="4" w:space="0" w:color="auto"/>
              <w:bottom w:val="nil"/>
              <w:right w:val="nil"/>
            </w:tcBorders>
            <w:shd w:val="clear" w:color="000000" w:fill="D9D9D9"/>
            <w:noWrap/>
            <w:vAlign w:val="bottom"/>
            <w:hideMark/>
          </w:tcPr>
          <w:p w14:paraId="28AC08E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205</w:t>
            </w:r>
          </w:p>
        </w:tc>
        <w:tc>
          <w:tcPr>
            <w:tcW w:w="666" w:type="dxa"/>
            <w:tcBorders>
              <w:top w:val="nil"/>
              <w:left w:val="nil"/>
              <w:bottom w:val="nil"/>
              <w:right w:val="nil"/>
            </w:tcBorders>
            <w:shd w:val="clear" w:color="000000" w:fill="D9D9D9"/>
            <w:noWrap/>
            <w:vAlign w:val="bottom"/>
            <w:hideMark/>
          </w:tcPr>
          <w:p w14:paraId="6ADD6E4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70%</w:t>
            </w:r>
          </w:p>
        </w:tc>
        <w:tc>
          <w:tcPr>
            <w:tcW w:w="666" w:type="dxa"/>
            <w:tcBorders>
              <w:top w:val="nil"/>
              <w:left w:val="nil"/>
              <w:bottom w:val="nil"/>
              <w:right w:val="nil"/>
            </w:tcBorders>
            <w:shd w:val="clear" w:color="000000" w:fill="D9D9D9"/>
            <w:noWrap/>
            <w:vAlign w:val="bottom"/>
            <w:hideMark/>
          </w:tcPr>
          <w:p w14:paraId="4BDBE7F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-26%</w:t>
            </w:r>
          </w:p>
        </w:tc>
        <w:tc>
          <w:tcPr>
            <w:tcW w:w="794" w:type="dxa"/>
            <w:tcBorders>
              <w:top w:val="nil"/>
              <w:left w:val="single" w:sz="4" w:space="0" w:color="auto"/>
              <w:bottom w:val="nil"/>
              <w:right w:val="nil"/>
            </w:tcBorders>
            <w:shd w:val="clear" w:color="000000" w:fill="D9D9D9"/>
            <w:noWrap/>
            <w:vAlign w:val="bottom"/>
            <w:hideMark/>
          </w:tcPr>
          <w:p w14:paraId="4E5ED0A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4,666</w:t>
            </w:r>
          </w:p>
        </w:tc>
        <w:tc>
          <w:tcPr>
            <w:tcW w:w="709" w:type="dxa"/>
            <w:tcBorders>
              <w:top w:val="nil"/>
              <w:left w:val="nil"/>
              <w:bottom w:val="nil"/>
              <w:right w:val="nil"/>
            </w:tcBorders>
            <w:shd w:val="clear" w:color="000000" w:fill="D9D9D9"/>
            <w:noWrap/>
            <w:vAlign w:val="bottom"/>
            <w:hideMark/>
          </w:tcPr>
          <w:p w14:paraId="2677CCBF"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-38%</w:t>
            </w:r>
          </w:p>
        </w:tc>
      </w:tr>
      <w:tr w:rsidR="0064654E" w:rsidRPr="0064654E" w14:paraId="7B28A310" w14:textId="77777777" w:rsidTr="0064654E">
        <w:trPr>
          <w:trHeight w:val="20"/>
        </w:trPr>
        <w:tc>
          <w:tcPr>
            <w:tcW w:w="1418" w:type="dxa"/>
            <w:tcBorders>
              <w:top w:val="nil"/>
              <w:left w:val="nil"/>
              <w:bottom w:val="nil"/>
              <w:right w:val="nil"/>
            </w:tcBorders>
            <w:shd w:val="clear" w:color="000000" w:fill="D9D9D9"/>
            <w:noWrap/>
            <w:vAlign w:val="bottom"/>
            <w:hideMark/>
          </w:tcPr>
          <w:p w14:paraId="77410C59"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二线城市</w:t>
            </w:r>
          </w:p>
        </w:tc>
        <w:tc>
          <w:tcPr>
            <w:tcW w:w="993" w:type="dxa"/>
            <w:tcBorders>
              <w:top w:val="nil"/>
              <w:left w:val="single" w:sz="4" w:space="0" w:color="auto"/>
              <w:bottom w:val="nil"/>
              <w:right w:val="nil"/>
            </w:tcBorders>
            <w:shd w:val="clear" w:color="000000" w:fill="D9D9D9"/>
            <w:noWrap/>
            <w:vAlign w:val="bottom"/>
            <w:hideMark/>
          </w:tcPr>
          <w:p w14:paraId="1583A7BF"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1,853,214</w:t>
            </w:r>
          </w:p>
        </w:tc>
        <w:tc>
          <w:tcPr>
            <w:tcW w:w="708" w:type="dxa"/>
            <w:tcBorders>
              <w:top w:val="nil"/>
              <w:left w:val="nil"/>
              <w:bottom w:val="nil"/>
              <w:right w:val="nil"/>
            </w:tcBorders>
            <w:shd w:val="clear" w:color="000000" w:fill="D9D9D9"/>
            <w:noWrap/>
            <w:vAlign w:val="bottom"/>
            <w:hideMark/>
          </w:tcPr>
          <w:p w14:paraId="76C7162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6%</w:t>
            </w:r>
          </w:p>
        </w:tc>
        <w:tc>
          <w:tcPr>
            <w:tcW w:w="851" w:type="dxa"/>
            <w:tcBorders>
              <w:top w:val="nil"/>
              <w:left w:val="nil"/>
              <w:bottom w:val="nil"/>
              <w:right w:val="nil"/>
            </w:tcBorders>
            <w:shd w:val="clear" w:color="000000" w:fill="D9D9D9"/>
            <w:noWrap/>
            <w:vAlign w:val="bottom"/>
            <w:hideMark/>
          </w:tcPr>
          <w:p w14:paraId="4EA92F0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-17%</w:t>
            </w:r>
          </w:p>
        </w:tc>
        <w:tc>
          <w:tcPr>
            <w:tcW w:w="711" w:type="dxa"/>
            <w:tcBorders>
              <w:top w:val="nil"/>
              <w:left w:val="single" w:sz="4" w:space="0" w:color="auto"/>
              <w:bottom w:val="nil"/>
              <w:right w:val="nil"/>
            </w:tcBorders>
            <w:shd w:val="clear" w:color="000000" w:fill="D9D9D9"/>
            <w:noWrap/>
            <w:vAlign w:val="bottom"/>
            <w:hideMark/>
          </w:tcPr>
          <w:p w14:paraId="4B7F0D1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6,964</w:t>
            </w:r>
          </w:p>
        </w:tc>
        <w:tc>
          <w:tcPr>
            <w:tcW w:w="756" w:type="dxa"/>
            <w:tcBorders>
              <w:top w:val="nil"/>
              <w:left w:val="nil"/>
              <w:bottom w:val="nil"/>
              <w:right w:val="nil"/>
            </w:tcBorders>
            <w:shd w:val="clear" w:color="000000" w:fill="D9D9D9"/>
            <w:noWrap/>
            <w:vAlign w:val="bottom"/>
            <w:hideMark/>
          </w:tcPr>
          <w:p w14:paraId="64271A5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172%</w:t>
            </w:r>
          </w:p>
        </w:tc>
        <w:tc>
          <w:tcPr>
            <w:tcW w:w="666" w:type="dxa"/>
            <w:tcBorders>
              <w:top w:val="nil"/>
              <w:left w:val="nil"/>
              <w:bottom w:val="nil"/>
              <w:right w:val="nil"/>
            </w:tcBorders>
            <w:shd w:val="clear" w:color="000000" w:fill="D9D9D9"/>
            <w:noWrap/>
            <w:vAlign w:val="bottom"/>
            <w:hideMark/>
          </w:tcPr>
          <w:p w14:paraId="4B2AE27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-25%</w:t>
            </w:r>
          </w:p>
        </w:tc>
        <w:tc>
          <w:tcPr>
            <w:tcW w:w="702" w:type="dxa"/>
            <w:tcBorders>
              <w:top w:val="nil"/>
              <w:left w:val="single" w:sz="4" w:space="0" w:color="auto"/>
              <w:bottom w:val="nil"/>
              <w:right w:val="nil"/>
            </w:tcBorders>
            <w:shd w:val="clear" w:color="000000" w:fill="D9D9D9"/>
            <w:noWrap/>
            <w:vAlign w:val="bottom"/>
            <w:hideMark/>
          </w:tcPr>
          <w:p w14:paraId="473E94B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866</w:t>
            </w:r>
          </w:p>
        </w:tc>
        <w:tc>
          <w:tcPr>
            <w:tcW w:w="666" w:type="dxa"/>
            <w:tcBorders>
              <w:top w:val="nil"/>
              <w:left w:val="nil"/>
              <w:bottom w:val="nil"/>
              <w:right w:val="nil"/>
            </w:tcBorders>
            <w:shd w:val="clear" w:color="000000" w:fill="D9D9D9"/>
            <w:noWrap/>
            <w:vAlign w:val="bottom"/>
            <w:hideMark/>
          </w:tcPr>
          <w:p w14:paraId="46DB439C"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35%</w:t>
            </w:r>
          </w:p>
        </w:tc>
        <w:tc>
          <w:tcPr>
            <w:tcW w:w="666" w:type="dxa"/>
            <w:tcBorders>
              <w:top w:val="nil"/>
              <w:left w:val="nil"/>
              <w:bottom w:val="nil"/>
              <w:right w:val="nil"/>
            </w:tcBorders>
            <w:shd w:val="clear" w:color="000000" w:fill="D9D9D9"/>
            <w:noWrap/>
            <w:vAlign w:val="bottom"/>
            <w:hideMark/>
          </w:tcPr>
          <w:p w14:paraId="64BD946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-10%</w:t>
            </w:r>
          </w:p>
        </w:tc>
        <w:tc>
          <w:tcPr>
            <w:tcW w:w="794" w:type="dxa"/>
            <w:tcBorders>
              <w:top w:val="nil"/>
              <w:left w:val="single" w:sz="4" w:space="0" w:color="auto"/>
              <w:bottom w:val="nil"/>
              <w:right w:val="nil"/>
            </w:tcBorders>
            <w:shd w:val="clear" w:color="000000" w:fill="D9D9D9"/>
            <w:noWrap/>
            <w:vAlign w:val="bottom"/>
            <w:hideMark/>
          </w:tcPr>
          <w:p w14:paraId="57F43B3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17,608</w:t>
            </w:r>
          </w:p>
        </w:tc>
        <w:tc>
          <w:tcPr>
            <w:tcW w:w="709" w:type="dxa"/>
            <w:tcBorders>
              <w:top w:val="nil"/>
              <w:left w:val="nil"/>
              <w:bottom w:val="nil"/>
              <w:right w:val="nil"/>
            </w:tcBorders>
            <w:shd w:val="clear" w:color="000000" w:fill="D9D9D9"/>
            <w:noWrap/>
            <w:vAlign w:val="bottom"/>
            <w:hideMark/>
          </w:tcPr>
          <w:p w14:paraId="4F90A57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-27%</w:t>
            </w:r>
          </w:p>
        </w:tc>
      </w:tr>
      <w:tr w:rsidR="0064654E" w:rsidRPr="0064654E" w14:paraId="78213B4B" w14:textId="77777777" w:rsidTr="0064654E">
        <w:trPr>
          <w:trHeight w:val="20"/>
        </w:trPr>
        <w:tc>
          <w:tcPr>
            <w:tcW w:w="1418" w:type="dxa"/>
            <w:tcBorders>
              <w:top w:val="nil"/>
              <w:left w:val="nil"/>
              <w:bottom w:val="nil"/>
              <w:right w:val="nil"/>
            </w:tcBorders>
            <w:shd w:val="clear" w:color="000000" w:fill="D9D9D9"/>
            <w:noWrap/>
            <w:vAlign w:val="bottom"/>
            <w:hideMark/>
          </w:tcPr>
          <w:p w14:paraId="61049F09"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三线城市</w:t>
            </w:r>
          </w:p>
        </w:tc>
        <w:tc>
          <w:tcPr>
            <w:tcW w:w="993" w:type="dxa"/>
            <w:tcBorders>
              <w:top w:val="nil"/>
              <w:left w:val="single" w:sz="4" w:space="0" w:color="auto"/>
              <w:bottom w:val="nil"/>
              <w:right w:val="nil"/>
            </w:tcBorders>
            <w:shd w:val="clear" w:color="000000" w:fill="D9D9D9"/>
            <w:noWrap/>
            <w:vAlign w:val="bottom"/>
            <w:hideMark/>
          </w:tcPr>
          <w:p w14:paraId="095610C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2,032,759</w:t>
            </w:r>
          </w:p>
        </w:tc>
        <w:tc>
          <w:tcPr>
            <w:tcW w:w="708" w:type="dxa"/>
            <w:tcBorders>
              <w:top w:val="nil"/>
              <w:left w:val="nil"/>
              <w:bottom w:val="nil"/>
              <w:right w:val="nil"/>
            </w:tcBorders>
            <w:shd w:val="clear" w:color="000000" w:fill="D9D9D9"/>
            <w:noWrap/>
            <w:vAlign w:val="bottom"/>
            <w:hideMark/>
          </w:tcPr>
          <w:p w14:paraId="45CEB3C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8%</w:t>
            </w:r>
          </w:p>
        </w:tc>
        <w:tc>
          <w:tcPr>
            <w:tcW w:w="851" w:type="dxa"/>
            <w:tcBorders>
              <w:top w:val="nil"/>
              <w:left w:val="nil"/>
              <w:bottom w:val="nil"/>
              <w:right w:val="nil"/>
            </w:tcBorders>
            <w:shd w:val="clear" w:color="000000" w:fill="D9D9D9"/>
            <w:noWrap/>
            <w:vAlign w:val="bottom"/>
            <w:hideMark/>
          </w:tcPr>
          <w:p w14:paraId="25D4B5F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-14%</w:t>
            </w:r>
          </w:p>
        </w:tc>
        <w:tc>
          <w:tcPr>
            <w:tcW w:w="711" w:type="dxa"/>
            <w:tcBorders>
              <w:top w:val="nil"/>
              <w:left w:val="single" w:sz="4" w:space="0" w:color="auto"/>
              <w:bottom w:val="nil"/>
              <w:right w:val="nil"/>
            </w:tcBorders>
            <w:shd w:val="clear" w:color="000000" w:fill="D9D9D9"/>
            <w:noWrap/>
            <w:vAlign w:val="bottom"/>
            <w:hideMark/>
          </w:tcPr>
          <w:p w14:paraId="6C54725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7,460</w:t>
            </w:r>
          </w:p>
        </w:tc>
        <w:tc>
          <w:tcPr>
            <w:tcW w:w="756" w:type="dxa"/>
            <w:tcBorders>
              <w:top w:val="nil"/>
              <w:left w:val="nil"/>
              <w:bottom w:val="nil"/>
              <w:right w:val="nil"/>
            </w:tcBorders>
            <w:shd w:val="clear" w:color="000000" w:fill="D9D9D9"/>
            <w:noWrap/>
            <w:vAlign w:val="bottom"/>
            <w:hideMark/>
          </w:tcPr>
          <w:p w14:paraId="7EB2FEEB"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267%</w:t>
            </w:r>
          </w:p>
        </w:tc>
        <w:tc>
          <w:tcPr>
            <w:tcW w:w="666" w:type="dxa"/>
            <w:tcBorders>
              <w:top w:val="nil"/>
              <w:left w:val="nil"/>
              <w:bottom w:val="nil"/>
              <w:right w:val="nil"/>
            </w:tcBorders>
            <w:shd w:val="clear" w:color="000000" w:fill="D9D9D9"/>
            <w:noWrap/>
            <w:vAlign w:val="bottom"/>
            <w:hideMark/>
          </w:tcPr>
          <w:p w14:paraId="33EA67B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-25%</w:t>
            </w:r>
          </w:p>
        </w:tc>
        <w:tc>
          <w:tcPr>
            <w:tcW w:w="702" w:type="dxa"/>
            <w:tcBorders>
              <w:top w:val="nil"/>
              <w:left w:val="single" w:sz="4" w:space="0" w:color="auto"/>
              <w:bottom w:val="nil"/>
              <w:right w:val="nil"/>
            </w:tcBorders>
            <w:shd w:val="clear" w:color="000000" w:fill="D9D9D9"/>
            <w:noWrap/>
            <w:vAlign w:val="bottom"/>
            <w:hideMark/>
          </w:tcPr>
          <w:p w14:paraId="4298E7E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841</w:t>
            </w:r>
          </w:p>
        </w:tc>
        <w:tc>
          <w:tcPr>
            <w:tcW w:w="666" w:type="dxa"/>
            <w:tcBorders>
              <w:top w:val="nil"/>
              <w:left w:val="nil"/>
              <w:bottom w:val="nil"/>
              <w:right w:val="nil"/>
            </w:tcBorders>
            <w:shd w:val="clear" w:color="000000" w:fill="D9D9D9"/>
            <w:noWrap/>
            <w:vAlign w:val="bottom"/>
            <w:hideMark/>
          </w:tcPr>
          <w:p w14:paraId="7F05C41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31%</w:t>
            </w:r>
          </w:p>
        </w:tc>
        <w:tc>
          <w:tcPr>
            <w:tcW w:w="666" w:type="dxa"/>
            <w:tcBorders>
              <w:top w:val="nil"/>
              <w:left w:val="nil"/>
              <w:bottom w:val="nil"/>
              <w:right w:val="nil"/>
            </w:tcBorders>
            <w:shd w:val="clear" w:color="000000" w:fill="D9D9D9"/>
            <w:noWrap/>
            <w:vAlign w:val="bottom"/>
            <w:hideMark/>
          </w:tcPr>
          <w:p w14:paraId="1B40762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-24%</w:t>
            </w:r>
          </w:p>
        </w:tc>
        <w:tc>
          <w:tcPr>
            <w:tcW w:w="794" w:type="dxa"/>
            <w:tcBorders>
              <w:top w:val="nil"/>
              <w:left w:val="single" w:sz="4" w:space="0" w:color="auto"/>
              <w:bottom w:val="nil"/>
              <w:right w:val="nil"/>
            </w:tcBorders>
            <w:shd w:val="clear" w:color="000000" w:fill="D9D9D9"/>
            <w:noWrap/>
            <w:vAlign w:val="bottom"/>
            <w:hideMark/>
          </w:tcPr>
          <w:p w14:paraId="1301A13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15,941</w:t>
            </w:r>
          </w:p>
        </w:tc>
        <w:tc>
          <w:tcPr>
            <w:tcW w:w="709" w:type="dxa"/>
            <w:tcBorders>
              <w:top w:val="nil"/>
              <w:left w:val="nil"/>
              <w:bottom w:val="nil"/>
              <w:right w:val="nil"/>
            </w:tcBorders>
            <w:shd w:val="clear" w:color="000000" w:fill="D9D9D9"/>
            <w:noWrap/>
            <w:vAlign w:val="bottom"/>
            <w:hideMark/>
          </w:tcPr>
          <w:p w14:paraId="409390A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-36%</w:t>
            </w:r>
          </w:p>
        </w:tc>
      </w:tr>
      <w:tr w:rsidR="0064654E" w:rsidRPr="0064654E" w14:paraId="7891034D" w14:textId="77777777" w:rsidTr="0064654E">
        <w:trPr>
          <w:trHeight w:val="20"/>
        </w:trPr>
        <w:tc>
          <w:tcPr>
            <w:tcW w:w="1418" w:type="dxa"/>
            <w:tcBorders>
              <w:top w:val="nil"/>
              <w:left w:val="nil"/>
              <w:bottom w:val="nil"/>
              <w:right w:val="nil"/>
            </w:tcBorders>
            <w:shd w:val="clear" w:color="auto" w:fill="auto"/>
            <w:noWrap/>
            <w:vAlign w:val="bottom"/>
            <w:hideMark/>
          </w:tcPr>
          <w:p w14:paraId="2DECAA47"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北京</w:t>
            </w:r>
          </w:p>
        </w:tc>
        <w:tc>
          <w:tcPr>
            <w:tcW w:w="993" w:type="dxa"/>
            <w:tcBorders>
              <w:top w:val="nil"/>
              <w:left w:val="single" w:sz="4" w:space="0" w:color="auto"/>
              <w:bottom w:val="nil"/>
              <w:right w:val="nil"/>
            </w:tcBorders>
            <w:shd w:val="clear" w:color="auto" w:fill="auto"/>
            <w:noWrap/>
            <w:vAlign w:val="bottom"/>
            <w:hideMark/>
          </w:tcPr>
          <w:p w14:paraId="6B4D2D5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75,874</w:t>
            </w:r>
          </w:p>
        </w:tc>
        <w:tc>
          <w:tcPr>
            <w:tcW w:w="708" w:type="dxa"/>
            <w:tcBorders>
              <w:top w:val="nil"/>
              <w:left w:val="nil"/>
              <w:bottom w:val="nil"/>
              <w:right w:val="nil"/>
            </w:tcBorders>
            <w:shd w:val="clear" w:color="auto" w:fill="auto"/>
            <w:noWrap/>
            <w:vAlign w:val="bottom"/>
            <w:hideMark/>
          </w:tcPr>
          <w:p w14:paraId="0AD19B1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w:t>
            </w:r>
          </w:p>
        </w:tc>
        <w:tc>
          <w:tcPr>
            <w:tcW w:w="851" w:type="dxa"/>
            <w:tcBorders>
              <w:top w:val="nil"/>
              <w:left w:val="nil"/>
              <w:bottom w:val="nil"/>
              <w:right w:val="nil"/>
            </w:tcBorders>
            <w:shd w:val="clear" w:color="auto" w:fill="auto"/>
            <w:noWrap/>
            <w:vAlign w:val="bottom"/>
            <w:hideMark/>
          </w:tcPr>
          <w:p w14:paraId="26372FE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-53%</w:t>
            </w:r>
          </w:p>
        </w:tc>
        <w:tc>
          <w:tcPr>
            <w:tcW w:w="711" w:type="dxa"/>
            <w:tcBorders>
              <w:top w:val="nil"/>
              <w:left w:val="single" w:sz="4" w:space="0" w:color="auto"/>
              <w:bottom w:val="nil"/>
              <w:right w:val="nil"/>
            </w:tcBorders>
            <w:shd w:val="clear" w:color="auto" w:fill="auto"/>
            <w:noWrap/>
            <w:vAlign w:val="bottom"/>
            <w:hideMark/>
          </w:tcPr>
          <w:p w14:paraId="2E35580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271</w:t>
            </w:r>
          </w:p>
        </w:tc>
        <w:tc>
          <w:tcPr>
            <w:tcW w:w="756" w:type="dxa"/>
            <w:tcBorders>
              <w:top w:val="nil"/>
              <w:left w:val="nil"/>
              <w:bottom w:val="nil"/>
              <w:right w:val="nil"/>
            </w:tcBorders>
            <w:shd w:val="clear" w:color="auto" w:fill="auto"/>
            <w:noWrap/>
            <w:vAlign w:val="bottom"/>
            <w:hideMark/>
          </w:tcPr>
          <w:p w14:paraId="4F7EFDB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51%</w:t>
            </w:r>
          </w:p>
        </w:tc>
        <w:tc>
          <w:tcPr>
            <w:tcW w:w="666" w:type="dxa"/>
            <w:tcBorders>
              <w:top w:val="nil"/>
              <w:left w:val="nil"/>
              <w:bottom w:val="nil"/>
              <w:right w:val="nil"/>
            </w:tcBorders>
            <w:shd w:val="clear" w:color="auto" w:fill="auto"/>
            <w:noWrap/>
            <w:vAlign w:val="bottom"/>
            <w:hideMark/>
          </w:tcPr>
          <w:p w14:paraId="55D7B13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-69%</w:t>
            </w:r>
          </w:p>
        </w:tc>
        <w:tc>
          <w:tcPr>
            <w:tcW w:w="702" w:type="dxa"/>
            <w:tcBorders>
              <w:top w:val="nil"/>
              <w:left w:val="single" w:sz="4" w:space="0" w:color="auto"/>
              <w:bottom w:val="nil"/>
              <w:right w:val="nil"/>
            </w:tcBorders>
            <w:shd w:val="clear" w:color="auto" w:fill="auto"/>
            <w:noWrap/>
            <w:vAlign w:val="bottom"/>
            <w:hideMark/>
          </w:tcPr>
          <w:p w14:paraId="4EB6681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29</w:t>
            </w:r>
          </w:p>
        </w:tc>
        <w:tc>
          <w:tcPr>
            <w:tcW w:w="666" w:type="dxa"/>
            <w:tcBorders>
              <w:top w:val="nil"/>
              <w:left w:val="nil"/>
              <w:bottom w:val="nil"/>
              <w:right w:val="nil"/>
            </w:tcBorders>
            <w:shd w:val="clear" w:color="auto" w:fill="auto"/>
            <w:noWrap/>
            <w:vAlign w:val="bottom"/>
            <w:hideMark/>
          </w:tcPr>
          <w:p w14:paraId="46C5184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116%</w:t>
            </w:r>
          </w:p>
        </w:tc>
        <w:tc>
          <w:tcPr>
            <w:tcW w:w="666" w:type="dxa"/>
            <w:tcBorders>
              <w:top w:val="nil"/>
              <w:left w:val="nil"/>
              <w:bottom w:val="nil"/>
              <w:right w:val="nil"/>
            </w:tcBorders>
            <w:shd w:val="clear" w:color="auto" w:fill="auto"/>
            <w:noWrap/>
            <w:vAlign w:val="bottom"/>
            <w:hideMark/>
          </w:tcPr>
          <w:p w14:paraId="1240F2F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-37%</w:t>
            </w:r>
          </w:p>
        </w:tc>
        <w:tc>
          <w:tcPr>
            <w:tcW w:w="794" w:type="dxa"/>
            <w:tcBorders>
              <w:top w:val="nil"/>
              <w:left w:val="single" w:sz="4" w:space="0" w:color="auto"/>
              <w:bottom w:val="nil"/>
              <w:right w:val="nil"/>
            </w:tcBorders>
            <w:shd w:val="clear" w:color="auto" w:fill="auto"/>
            <w:noWrap/>
            <w:vAlign w:val="bottom"/>
            <w:hideMark/>
          </w:tcPr>
          <w:p w14:paraId="60B50C9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1,004</w:t>
            </w:r>
          </w:p>
        </w:tc>
        <w:tc>
          <w:tcPr>
            <w:tcW w:w="709" w:type="dxa"/>
            <w:tcBorders>
              <w:top w:val="nil"/>
              <w:left w:val="nil"/>
              <w:bottom w:val="nil"/>
              <w:right w:val="nil"/>
            </w:tcBorders>
            <w:shd w:val="clear" w:color="auto" w:fill="auto"/>
            <w:noWrap/>
            <w:vAlign w:val="bottom"/>
            <w:hideMark/>
          </w:tcPr>
          <w:p w14:paraId="1CB2206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-38%</w:t>
            </w:r>
          </w:p>
        </w:tc>
      </w:tr>
      <w:tr w:rsidR="0064654E" w:rsidRPr="0064654E" w14:paraId="1C55CBBB" w14:textId="77777777" w:rsidTr="0064654E">
        <w:trPr>
          <w:trHeight w:val="20"/>
        </w:trPr>
        <w:tc>
          <w:tcPr>
            <w:tcW w:w="1418" w:type="dxa"/>
            <w:tcBorders>
              <w:top w:val="nil"/>
              <w:left w:val="nil"/>
              <w:bottom w:val="nil"/>
              <w:right w:val="nil"/>
            </w:tcBorders>
            <w:shd w:val="clear" w:color="auto" w:fill="auto"/>
            <w:noWrap/>
            <w:vAlign w:val="bottom"/>
            <w:hideMark/>
          </w:tcPr>
          <w:p w14:paraId="6E38878C"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青岛</w:t>
            </w:r>
          </w:p>
        </w:tc>
        <w:tc>
          <w:tcPr>
            <w:tcW w:w="993" w:type="dxa"/>
            <w:tcBorders>
              <w:top w:val="nil"/>
              <w:left w:val="single" w:sz="4" w:space="0" w:color="auto"/>
              <w:bottom w:val="nil"/>
              <w:right w:val="nil"/>
            </w:tcBorders>
            <w:shd w:val="clear" w:color="auto" w:fill="auto"/>
            <w:noWrap/>
            <w:vAlign w:val="bottom"/>
            <w:hideMark/>
          </w:tcPr>
          <w:p w14:paraId="09B4F95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323,694</w:t>
            </w:r>
          </w:p>
        </w:tc>
        <w:tc>
          <w:tcPr>
            <w:tcW w:w="708" w:type="dxa"/>
            <w:tcBorders>
              <w:top w:val="nil"/>
              <w:left w:val="nil"/>
              <w:bottom w:val="nil"/>
              <w:right w:val="nil"/>
            </w:tcBorders>
            <w:shd w:val="clear" w:color="auto" w:fill="auto"/>
            <w:noWrap/>
            <w:vAlign w:val="bottom"/>
            <w:hideMark/>
          </w:tcPr>
          <w:p w14:paraId="7ECDBB8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w:t>
            </w:r>
          </w:p>
        </w:tc>
        <w:tc>
          <w:tcPr>
            <w:tcW w:w="851" w:type="dxa"/>
            <w:tcBorders>
              <w:top w:val="nil"/>
              <w:left w:val="nil"/>
              <w:bottom w:val="nil"/>
              <w:right w:val="nil"/>
            </w:tcBorders>
            <w:shd w:val="clear" w:color="auto" w:fill="auto"/>
            <w:noWrap/>
            <w:vAlign w:val="bottom"/>
            <w:hideMark/>
          </w:tcPr>
          <w:p w14:paraId="35A0ADE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43%</w:t>
            </w:r>
          </w:p>
        </w:tc>
        <w:tc>
          <w:tcPr>
            <w:tcW w:w="711" w:type="dxa"/>
            <w:tcBorders>
              <w:top w:val="nil"/>
              <w:left w:val="single" w:sz="4" w:space="0" w:color="auto"/>
              <w:bottom w:val="nil"/>
              <w:right w:val="nil"/>
            </w:tcBorders>
            <w:shd w:val="clear" w:color="auto" w:fill="auto"/>
            <w:noWrap/>
            <w:vAlign w:val="bottom"/>
            <w:hideMark/>
          </w:tcPr>
          <w:p w14:paraId="703C015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1,166</w:t>
            </w:r>
          </w:p>
        </w:tc>
        <w:tc>
          <w:tcPr>
            <w:tcW w:w="756" w:type="dxa"/>
            <w:tcBorders>
              <w:top w:val="nil"/>
              <w:left w:val="nil"/>
              <w:bottom w:val="nil"/>
              <w:right w:val="nil"/>
            </w:tcBorders>
            <w:shd w:val="clear" w:color="auto" w:fill="auto"/>
            <w:noWrap/>
            <w:vAlign w:val="bottom"/>
            <w:hideMark/>
          </w:tcPr>
          <w:p w14:paraId="490BFD3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353%</w:t>
            </w:r>
          </w:p>
        </w:tc>
        <w:tc>
          <w:tcPr>
            <w:tcW w:w="666" w:type="dxa"/>
            <w:tcBorders>
              <w:top w:val="nil"/>
              <w:left w:val="nil"/>
              <w:bottom w:val="nil"/>
              <w:right w:val="nil"/>
            </w:tcBorders>
            <w:shd w:val="clear" w:color="auto" w:fill="auto"/>
            <w:noWrap/>
            <w:vAlign w:val="bottom"/>
            <w:hideMark/>
          </w:tcPr>
          <w:p w14:paraId="6BFEBB3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w:t>
            </w:r>
          </w:p>
        </w:tc>
        <w:tc>
          <w:tcPr>
            <w:tcW w:w="702" w:type="dxa"/>
            <w:tcBorders>
              <w:top w:val="nil"/>
              <w:left w:val="single" w:sz="4" w:space="0" w:color="auto"/>
              <w:bottom w:val="nil"/>
              <w:right w:val="nil"/>
            </w:tcBorders>
            <w:shd w:val="clear" w:color="auto" w:fill="auto"/>
            <w:noWrap/>
            <w:vAlign w:val="bottom"/>
            <w:hideMark/>
          </w:tcPr>
          <w:p w14:paraId="2662083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97</w:t>
            </w:r>
          </w:p>
        </w:tc>
        <w:tc>
          <w:tcPr>
            <w:tcW w:w="666" w:type="dxa"/>
            <w:tcBorders>
              <w:top w:val="nil"/>
              <w:left w:val="nil"/>
              <w:bottom w:val="nil"/>
              <w:right w:val="nil"/>
            </w:tcBorders>
            <w:shd w:val="clear" w:color="auto" w:fill="auto"/>
            <w:noWrap/>
            <w:vAlign w:val="bottom"/>
            <w:hideMark/>
          </w:tcPr>
          <w:p w14:paraId="19E15BE1"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109%</w:t>
            </w:r>
          </w:p>
        </w:tc>
        <w:tc>
          <w:tcPr>
            <w:tcW w:w="666" w:type="dxa"/>
            <w:tcBorders>
              <w:top w:val="nil"/>
              <w:left w:val="nil"/>
              <w:bottom w:val="nil"/>
              <w:right w:val="nil"/>
            </w:tcBorders>
            <w:shd w:val="clear" w:color="auto" w:fill="auto"/>
            <w:noWrap/>
            <w:vAlign w:val="bottom"/>
            <w:hideMark/>
          </w:tcPr>
          <w:p w14:paraId="758E87E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w:t>
            </w:r>
          </w:p>
        </w:tc>
        <w:tc>
          <w:tcPr>
            <w:tcW w:w="794" w:type="dxa"/>
            <w:tcBorders>
              <w:top w:val="nil"/>
              <w:left w:val="single" w:sz="4" w:space="0" w:color="auto"/>
              <w:bottom w:val="nil"/>
              <w:right w:val="nil"/>
            </w:tcBorders>
            <w:shd w:val="clear" w:color="auto" w:fill="auto"/>
            <w:noWrap/>
            <w:vAlign w:val="bottom"/>
            <w:hideMark/>
          </w:tcPr>
          <w:p w14:paraId="780169F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2,141</w:t>
            </w:r>
          </w:p>
        </w:tc>
        <w:tc>
          <w:tcPr>
            <w:tcW w:w="709" w:type="dxa"/>
            <w:tcBorders>
              <w:top w:val="nil"/>
              <w:left w:val="nil"/>
              <w:bottom w:val="nil"/>
              <w:right w:val="nil"/>
            </w:tcBorders>
            <w:shd w:val="clear" w:color="auto" w:fill="auto"/>
            <w:noWrap/>
            <w:vAlign w:val="bottom"/>
            <w:hideMark/>
          </w:tcPr>
          <w:p w14:paraId="694BCF1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-18%</w:t>
            </w:r>
          </w:p>
        </w:tc>
      </w:tr>
      <w:tr w:rsidR="0064654E" w:rsidRPr="0064654E" w14:paraId="0020BB3D" w14:textId="77777777" w:rsidTr="0064654E">
        <w:trPr>
          <w:trHeight w:val="20"/>
        </w:trPr>
        <w:tc>
          <w:tcPr>
            <w:tcW w:w="1418" w:type="dxa"/>
            <w:tcBorders>
              <w:top w:val="nil"/>
              <w:left w:val="nil"/>
              <w:bottom w:val="nil"/>
              <w:right w:val="nil"/>
            </w:tcBorders>
            <w:shd w:val="clear" w:color="auto" w:fill="auto"/>
            <w:noWrap/>
            <w:vAlign w:val="bottom"/>
            <w:hideMark/>
          </w:tcPr>
          <w:p w14:paraId="227574E4"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东营</w:t>
            </w:r>
          </w:p>
        </w:tc>
        <w:tc>
          <w:tcPr>
            <w:tcW w:w="993" w:type="dxa"/>
            <w:tcBorders>
              <w:top w:val="nil"/>
              <w:left w:val="single" w:sz="4" w:space="0" w:color="auto"/>
              <w:bottom w:val="nil"/>
              <w:right w:val="nil"/>
            </w:tcBorders>
            <w:shd w:val="clear" w:color="auto" w:fill="auto"/>
            <w:noWrap/>
            <w:vAlign w:val="bottom"/>
            <w:hideMark/>
          </w:tcPr>
          <w:p w14:paraId="0F120BE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241,472</w:t>
            </w:r>
          </w:p>
        </w:tc>
        <w:tc>
          <w:tcPr>
            <w:tcW w:w="708" w:type="dxa"/>
            <w:tcBorders>
              <w:top w:val="nil"/>
              <w:left w:val="nil"/>
              <w:bottom w:val="nil"/>
              <w:right w:val="nil"/>
            </w:tcBorders>
            <w:shd w:val="clear" w:color="auto" w:fill="auto"/>
            <w:noWrap/>
            <w:vAlign w:val="bottom"/>
            <w:hideMark/>
          </w:tcPr>
          <w:p w14:paraId="425F2B74"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45%</w:t>
            </w:r>
          </w:p>
        </w:tc>
        <w:tc>
          <w:tcPr>
            <w:tcW w:w="851" w:type="dxa"/>
            <w:tcBorders>
              <w:top w:val="nil"/>
              <w:left w:val="nil"/>
              <w:bottom w:val="nil"/>
              <w:right w:val="nil"/>
            </w:tcBorders>
            <w:shd w:val="clear" w:color="auto" w:fill="auto"/>
            <w:noWrap/>
            <w:vAlign w:val="bottom"/>
            <w:hideMark/>
          </w:tcPr>
          <w:p w14:paraId="5812E41F"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503%</w:t>
            </w:r>
          </w:p>
        </w:tc>
        <w:tc>
          <w:tcPr>
            <w:tcW w:w="711" w:type="dxa"/>
            <w:tcBorders>
              <w:top w:val="nil"/>
              <w:left w:val="single" w:sz="4" w:space="0" w:color="auto"/>
              <w:bottom w:val="nil"/>
              <w:right w:val="nil"/>
            </w:tcBorders>
            <w:shd w:val="clear" w:color="auto" w:fill="auto"/>
            <w:noWrap/>
            <w:vAlign w:val="bottom"/>
            <w:hideMark/>
          </w:tcPr>
          <w:p w14:paraId="67C6511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519</w:t>
            </w:r>
          </w:p>
        </w:tc>
        <w:tc>
          <w:tcPr>
            <w:tcW w:w="756" w:type="dxa"/>
            <w:tcBorders>
              <w:top w:val="nil"/>
              <w:left w:val="nil"/>
              <w:bottom w:val="nil"/>
              <w:right w:val="nil"/>
            </w:tcBorders>
            <w:shd w:val="clear" w:color="auto" w:fill="auto"/>
            <w:noWrap/>
            <w:vAlign w:val="bottom"/>
            <w:hideMark/>
          </w:tcPr>
          <w:p w14:paraId="3E21419C"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1789%</w:t>
            </w:r>
          </w:p>
        </w:tc>
        <w:tc>
          <w:tcPr>
            <w:tcW w:w="666" w:type="dxa"/>
            <w:tcBorders>
              <w:top w:val="nil"/>
              <w:left w:val="nil"/>
              <w:bottom w:val="nil"/>
              <w:right w:val="nil"/>
            </w:tcBorders>
            <w:shd w:val="clear" w:color="auto" w:fill="auto"/>
            <w:noWrap/>
            <w:vAlign w:val="bottom"/>
            <w:hideMark/>
          </w:tcPr>
          <w:p w14:paraId="1CDED33E"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284%</w:t>
            </w:r>
          </w:p>
        </w:tc>
        <w:tc>
          <w:tcPr>
            <w:tcW w:w="702" w:type="dxa"/>
            <w:tcBorders>
              <w:top w:val="nil"/>
              <w:left w:val="single" w:sz="4" w:space="0" w:color="auto"/>
              <w:bottom w:val="nil"/>
              <w:right w:val="nil"/>
            </w:tcBorders>
            <w:shd w:val="clear" w:color="auto" w:fill="auto"/>
            <w:noWrap/>
            <w:vAlign w:val="bottom"/>
            <w:hideMark/>
          </w:tcPr>
          <w:p w14:paraId="2B5AB5A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85</w:t>
            </w:r>
          </w:p>
        </w:tc>
        <w:tc>
          <w:tcPr>
            <w:tcW w:w="666" w:type="dxa"/>
            <w:tcBorders>
              <w:top w:val="nil"/>
              <w:left w:val="nil"/>
              <w:bottom w:val="nil"/>
              <w:right w:val="nil"/>
            </w:tcBorders>
            <w:shd w:val="clear" w:color="auto" w:fill="auto"/>
            <w:noWrap/>
            <w:vAlign w:val="bottom"/>
            <w:hideMark/>
          </w:tcPr>
          <w:p w14:paraId="51F6E5F6"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792%</w:t>
            </w:r>
          </w:p>
        </w:tc>
        <w:tc>
          <w:tcPr>
            <w:tcW w:w="666" w:type="dxa"/>
            <w:tcBorders>
              <w:top w:val="nil"/>
              <w:left w:val="nil"/>
              <w:bottom w:val="nil"/>
              <w:right w:val="nil"/>
            </w:tcBorders>
            <w:shd w:val="clear" w:color="auto" w:fill="auto"/>
            <w:noWrap/>
            <w:vAlign w:val="bottom"/>
            <w:hideMark/>
          </w:tcPr>
          <w:p w14:paraId="07E0ED9B"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172%</w:t>
            </w:r>
          </w:p>
        </w:tc>
        <w:tc>
          <w:tcPr>
            <w:tcW w:w="794" w:type="dxa"/>
            <w:tcBorders>
              <w:top w:val="nil"/>
              <w:left w:val="single" w:sz="4" w:space="0" w:color="auto"/>
              <w:bottom w:val="nil"/>
              <w:right w:val="nil"/>
            </w:tcBorders>
            <w:shd w:val="clear" w:color="auto" w:fill="auto"/>
            <w:noWrap/>
            <w:vAlign w:val="bottom"/>
            <w:hideMark/>
          </w:tcPr>
          <w:p w14:paraId="5B08019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651</w:t>
            </w:r>
          </w:p>
        </w:tc>
        <w:tc>
          <w:tcPr>
            <w:tcW w:w="709" w:type="dxa"/>
            <w:tcBorders>
              <w:top w:val="nil"/>
              <w:left w:val="nil"/>
              <w:bottom w:val="nil"/>
              <w:right w:val="nil"/>
            </w:tcBorders>
            <w:shd w:val="clear" w:color="auto" w:fill="auto"/>
            <w:noWrap/>
            <w:vAlign w:val="bottom"/>
            <w:hideMark/>
          </w:tcPr>
          <w:p w14:paraId="5D32C79D"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111%</w:t>
            </w:r>
          </w:p>
        </w:tc>
      </w:tr>
      <w:tr w:rsidR="0064654E" w:rsidRPr="0064654E" w14:paraId="4D503FE1" w14:textId="77777777" w:rsidTr="0064654E">
        <w:trPr>
          <w:trHeight w:val="20"/>
        </w:trPr>
        <w:tc>
          <w:tcPr>
            <w:tcW w:w="1418" w:type="dxa"/>
            <w:tcBorders>
              <w:top w:val="nil"/>
              <w:left w:val="nil"/>
              <w:bottom w:val="nil"/>
              <w:right w:val="nil"/>
            </w:tcBorders>
            <w:shd w:val="clear" w:color="000000" w:fill="D9D9D9"/>
            <w:noWrap/>
            <w:vAlign w:val="bottom"/>
            <w:hideMark/>
          </w:tcPr>
          <w:p w14:paraId="02BBC78A"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环渤海</w:t>
            </w:r>
          </w:p>
        </w:tc>
        <w:tc>
          <w:tcPr>
            <w:tcW w:w="993" w:type="dxa"/>
            <w:tcBorders>
              <w:top w:val="nil"/>
              <w:left w:val="single" w:sz="4" w:space="0" w:color="auto"/>
              <w:bottom w:val="nil"/>
              <w:right w:val="nil"/>
            </w:tcBorders>
            <w:shd w:val="clear" w:color="000000" w:fill="D9D9D9"/>
            <w:noWrap/>
            <w:vAlign w:val="bottom"/>
            <w:hideMark/>
          </w:tcPr>
          <w:p w14:paraId="78E2AB55"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641,041</w:t>
            </w:r>
          </w:p>
        </w:tc>
        <w:tc>
          <w:tcPr>
            <w:tcW w:w="708" w:type="dxa"/>
            <w:tcBorders>
              <w:top w:val="nil"/>
              <w:left w:val="nil"/>
              <w:bottom w:val="nil"/>
              <w:right w:val="nil"/>
            </w:tcBorders>
            <w:shd w:val="clear" w:color="000000" w:fill="D9D9D9"/>
            <w:noWrap/>
            <w:vAlign w:val="bottom"/>
            <w:hideMark/>
          </w:tcPr>
          <w:p w14:paraId="2AD3DEEB"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16%</w:t>
            </w:r>
          </w:p>
        </w:tc>
        <w:tc>
          <w:tcPr>
            <w:tcW w:w="851" w:type="dxa"/>
            <w:tcBorders>
              <w:top w:val="nil"/>
              <w:left w:val="nil"/>
              <w:bottom w:val="nil"/>
              <w:right w:val="nil"/>
            </w:tcBorders>
            <w:shd w:val="clear" w:color="000000" w:fill="D9D9D9"/>
            <w:noWrap/>
            <w:vAlign w:val="bottom"/>
            <w:hideMark/>
          </w:tcPr>
          <w:p w14:paraId="1D1BAB86" w14:textId="77777777" w:rsidR="0064654E" w:rsidRPr="0064654E" w:rsidRDefault="0064654E" w:rsidP="0064654E">
            <w:pPr>
              <w:spacing w:after="0" w:line="240" w:lineRule="auto"/>
              <w:ind w:right="0"/>
              <w:jc w:val="center"/>
              <w:rPr>
                <w:rFonts w:eastAsia="宋体" w:cs="Times New Roman"/>
                <w:b/>
                <w:bCs/>
                <w:color w:val="00B050"/>
                <w:sz w:val="18"/>
                <w:szCs w:val="18"/>
              </w:rPr>
            </w:pPr>
            <w:r w:rsidRPr="0064654E">
              <w:rPr>
                <w:rFonts w:eastAsia="宋体" w:cs="Times New Roman"/>
                <w:b/>
                <w:bCs/>
                <w:color w:val="00B050"/>
                <w:sz w:val="18"/>
                <w:szCs w:val="18"/>
              </w:rPr>
              <w:t>49%</w:t>
            </w:r>
          </w:p>
        </w:tc>
        <w:tc>
          <w:tcPr>
            <w:tcW w:w="711" w:type="dxa"/>
            <w:tcBorders>
              <w:top w:val="nil"/>
              <w:left w:val="single" w:sz="4" w:space="0" w:color="auto"/>
              <w:bottom w:val="nil"/>
              <w:right w:val="nil"/>
            </w:tcBorders>
            <w:shd w:val="clear" w:color="000000" w:fill="D9D9D9"/>
            <w:noWrap/>
            <w:vAlign w:val="bottom"/>
            <w:hideMark/>
          </w:tcPr>
          <w:p w14:paraId="498FF87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1,956</w:t>
            </w:r>
          </w:p>
        </w:tc>
        <w:tc>
          <w:tcPr>
            <w:tcW w:w="756" w:type="dxa"/>
            <w:tcBorders>
              <w:top w:val="nil"/>
              <w:left w:val="nil"/>
              <w:bottom w:val="nil"/>
              <w:right w:val="nil"/>
            </w:tcBorders>
            <w:shd w:val="clear" w:color="000000" w:fill="D9D9D9"/>
            <w:noWrap/>
            <w:vAlign w:val="bottom"/>
            <w:hideMark/>
          </w:tcPr>
          <w:p w14:paraId="333BBD5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322%</w:t>
            </w:r>
          </w:p>
        </w:tc>
        <w:tc>
          <w:tcPr>
            <w:tcW w:w="666" w:type="dxa"/>
            <w:tcBorders>
              <w:top w:val="nil"/>
              <w:left w:val="nil"/>
              <w:bottom w:val="nil"/>
              <w:right w:val="nil"/>
            </w:tcBorders>
            <w:shd w:val="clear" w:color="000000" w:fill="D9D9D9"/>
            <w:noWrap/>
            <w:vAlign w:val="bottom"/>
            <w:hideMark/>
          </w:tcPr>
          <w:p w14:paraId="15DB200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-7%</w:t>
            </w:r>
          </w:p>
        </w:tc>
        <w:tc>
          <w:tcPr>
            <w:tcW w:w="702" w:type="dxa"/>
            <w:tcBorders>
              <w:top w:val="nil"/>
              <w:left w:val="single" w:sz="4" w:space="0" w:color="auto"/>
              <w:bottom w:val="nil"/>
              <w:right w:val="nil"/>
            </w:tcBorders>
            <w:shd w:val="clear" w:color="000000" w:fill="D9D9D9"/>
            <w:noWrap/>
            <w:vAlign w:val="bottom"/>
            <w:hideMark/>
          </w:tcPr>
          <w:p w14:paraId="12685E3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211</w:t>
            </w:r>
          </w:p>
        </w:tc>
        <w:tc>
          <w:tcPr>
            <w:tcW w:w="666" w:type="dxa"/>
            <w:tcBorders>
              <w:top w:val="nil"/>
              <w:left w:val="nil"/>
              <w:bottom w:val="nil"/>
              <w:right w:val="nil"/>
            </w:tcBorders>
            <w:shd w:val="clear" w:color="000000" w:fill="D9D9D9"/>
            <w:noWrap/>
            <w:vAlign w:val="bottom"/>
            <w:hideMark/>
          </w:tcPr>
          <w:p w14:paraId="48F3749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204%</w:t>
            </w:r>
          </w:p>
        </w:tc>
        <w:tc>
          <w:tcPr>
            <w:tcW w:w="666" w:type="dxa"/>
            <w:tcBorders>
              <w:top w:val="nil"/>
              <w:left w:val="nil"/>
              <w:bottom w:val="nil"/>
              <w:right w:val="nil"/>
            </w:tcBorders>
            <w:shd w:val="clear" w:color="000000" w:fill="D9D9D9"/>
            <w:noWrap/>
            <w:vAlign w:val="bottom"/>
            <w:hideMark/>
          </w:tcPr>
          <w:p w14:paraId="3ECCB46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16%</w:t>
            </w:r>
          </w:p>
        </w:tc>
        <w:tc>
          <w:tcPr>
            <w:tcW w:w="794" w:type="dxa"/>
            <w:tcBorders>
              <w:top w:val="nil"/>
              <w:left w:val="single" w:sz="4" w:space="0" w:color="auto"/>
              <w:bottom w:val="nil"/>
              <w:right w:val="nil"/>
            </w:tcBorders>
            <w:shd w:val="clear" w:color="000000" w:fill="D9D9D9"/>
            <w:noWrap/>
            <w:vAlign w:val="bottom"/>
            <w:hideMark/>
          </w:tcPr>
          <w:p w14:paraId="4E327ED5"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3,796</w:t>
            </w:r>
          </w:p>
        </w:tc>
        <w:tc>
          <w:tcPr>
            <w:tcW w:w="709" w:type="dxa"/>
            <w:tcBorders>
              <w:top w:val="nil"/>
              <w:left w:val="nil"/>
              <w:bottom w:val="nil"/>
              <w:right w:val="nil"/>
            </w:tcBorders>
            <w:shd w:val="clear" w:color="000000" w:fill="D9D9D9"/>
            <w:noWrap/>
            <w:vAlign w:val="bottom"/>
            <w:hideMark/>
          </w:tcPr>
          <w:p w14:paraId="023884E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-16%</w:t>
            </w:r>
          </w:p>
        </w:tc>
      </w:tr>
      <w:tr w:rsidR="0064654E" w:rsidRPr="0064654E" w14:paraId="2AFF6BEE" w14:textId="77777777" w:rsidTr="0064654E">
        <w:trPr>
          <w:trHeight w:val="20"/>
        </w:trPr>
        <w:tc>
          <w:tcPr>
            <w:tcW w:w="1418" w:type="dxa"/>
            <w:tcBorders>
              <w:top w:val="nil"/>
              <w:left w:val="nil"/>
              <w:bottom w:val="nil"/>
              <w:right w:val="nil"/>
            </w:tcBorders>
            <w:shd w:val="clear" w:color="auto" w:fill="auto"/>
            <w:noWrap/>
            <w:vAlign w:val="bottom"/>
            <w:hideMark/>
          </w:tcPr>
          <w:p w14:paraId="1AAF7508"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上海</w:t>
            </w:r>
            <w:r w:rsidRPr="0064654E">
              <w:rPr>
                <w:rFonts w:eastAsia="宋体" w:cs="Times New Roman"/>
                <w:color w:val="000000"/>
                <w:sz w:val="18"/>
                <w:szCs w:val="18"/>
              </w:rPr>
              <w:t xml:space="preserve"> </w:t>
            </w:r>
          </w:p>
        </w:tc>
        <w:tc>
          <w:tcPr>
            <w:tcW w:w="993" w:type="dxa"/>
            <w:tcBorders>
              <w:top w:val="nil"/>
              <w:left w:val="single" w:sz="4" w:space="0" w:color="auto"/>
              <w:bottom w:val="nil"/>
              <w:right w:val="nil"/>
            </w:tcBorders>
            <w:shd w:val="clear" w:color="auto" w:fill="auto"/>
            <w:noWrap/>
            <w:vAlign w:val="bottom"/>
            <w:hideMark/>
          </w:tcPr>
          <w:p w14:paraId="582979A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235,300</w:t>
            </w:r>
          </w:p>
        </w:tc>
        <w:tc>
          <w:tcPr>
            <w:tcW w:w="708" w:type="dxa"/>
            <w:tcBorders>
              <w:top w:val="nil"/>
              <w:left w:val="nil"/>
              <w:bottom w:val="nil"/>
              <w:right w:val="nil"/>
            </w:tcBorders>
            <w:shd w:val="clear" w:color="auto" w:fill="auto"/>
            <w:noWrap/>
            <w:vAlign w:val="bottom"/>
            <w:hideMark/>
          </w:tcPr>
          <w:p w14:paraId="4A2D4CB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21%</w:t>
            </w:r>
          </w:p>
        </w:tc>
        <w:tc>
          <w:tcPr>
            <w:tcW w:w="851" w:type="dxa"/>
            <w:tcBorders>
              <w:top w:val="nil"/>
              <w:left w:val="nil"/>
              <w:bottom w:val="nil"/>
              <w:right w:val="nil"/>
            </w:tcBorders>
            <w:shd w:val="clear" w:color="auto" w:fill="auto"/>
            <w:noWrap/>
            <w:vAlign w:val="bottom"/>
            <w:hideMark/>
          </w:tcPr>
          <w:p w14:paraId="46E5002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-29%</w:t>
            </w:r>
          </w:p>
        </w:tc>
        <w:tc>
          <w:tcPr>
            <w:tcW w:w="711" w:type="dxa"/>
            <w:tcBorders>
              <w:top w:val="nil"/>
              <w:left w:val="single" w:sz="4" w:space="0" w:color="auto"/>
              <w:bottom w:val="nil"/>
              <w:right w:val="nil"/>
            </w:tcBorders>
            <w:shd w:val="clear" w:color="auto" w:fill="auto"/>
            <w:noWrap/>
            <w:vAlign w:val="bottom"/>
            <w:hideMark/>
          </w:tcPr>
          <w:p w14:paraId="5A4341F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739</w:t>
            </w:r>
          </w:p>
        </w:tc>
        <w:tc>
          <w:tcPr>
            <w:tcW w:w="756" w:type="dxa"/>
            <w:tcBorders>
              <w:top w:val="nil"/>
              <w:left w:val="nil"/>
              <w:bottom w:val="nil"/>
              <w:right w:val="nil"/>
            </w:tcBorders>
            <w:shd w:val="clear" w:color="auto" w:fill="auto"/>
            <w:noWrap/>
            <w:vAlign w:val="bottom"/>
            <w:hideMark/>
          </w:tcPr>
          <w:p w14:paraId="614769B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187%</w:t>
            </w:r>
          </w:p>
        </w:tc>
        <w:tc>
          <w:tcPr>
            <w:tcW w:w="666" w:type="dxa"/>
            <w:tcBorders>
              <w:top w:val="nil"/>
              <w:left w:val="nil"/>
              <w:bottom w:val="nil"/>
              <w:right w:val="nil"/>
            </w:tcBorders>
            <w:shd w:val="clear" w:color="auto" w:fill="auto"/>
            <w:noWrap/>
            <w:vAlign w:val="bottom"/>
            <w:hideMark/>
          </w:tcPr>
          <w:p w14:paraId="0BB067E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-44%</w:t>
            </w:r>
          </w:p>
        </w:tc>
        <w:tc>
          <w:tcPr>
            <w:tcW w:w="702" w:type="dxa"/>
            <w:tcBorders>
              <w:top w:val="nil"/>
              <w:left w:val="single" w:sz="4" w:space="0" w:color="auto"/>
              <w:bottom w:val="nil"/>
              <w:right w:val="nil"/>
            </w:tcBorders>
            <w:shd w:val="clear" w:color="auto" w:fill="auto"/>
            <w:noWrap/>
            <w:vAlign w:val="bottom"/>
            <w:hideMark/>
          </w:tcPr>
          <w:p w14:paraId="098EE68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87</w:t>
            </w:r>
          </w:p>
        </w:tc>
        <w:tc>
          <w:tcPr>
            <w:tcW w:w="666" w:type="dxa"/>
            <w:tcBorders>
              <w:top w:val="nil"/>
              <w:left w:val="nil"/>
              <w:bottom w:val="nil"/>
              <w:right w:val="nil"/>
            </w:tcBorders>
            <w:shd w:val="clear" w:color="auto" w:fill="auto"/>
            <w:noWrap/>
            <w:vAlign w:val="bottom"/>
            <w:hideMark/>
          </w:tcPr>
          <w:p w14:paraId="4A2DB7A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54%</w:t>
            </w:r>
          </w:p>
        </w:tc>
        <w:tc>
          <w:tcPr>
            <w:tcW w:w="666" w:type="dxa"/>
            <w:tcBorders>
              <w:top w:val="nil"/>
              <w:left w:val="nil"/>
              <w:bottom w:val="nil"/>
              <w:right w:val="nil"/>
            </w:tcBorders>
            <w:shd w:val="clear" w:color="auto" w:fill="auto"/>
            <w:noWrap/>
            <w:vAlign w:val="bottom"/>
            <w:hideMark/>
          </w:tcPr>
          <w:p w14:paraId="56EC7FB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-30%</w:t>
            </w:r>
          </w:p>
        </w:tc>
        <w:tc>
          <w:tcPr>
            <w:tcW w:w="794" w:type="dxa"/>
            <w:tcBorders>
              <w:top w:val="nil"/>
              <w:left w:val="single" w:sz="4" w:space="0" w:color="auto"/>
              <w:bottom w:val="nil"/>
              <w:right w:val="nil"/>
            </w:tcBorders>
            <w:shd w:val="clear" w:color="auto" w:fill="auto"/>
            <w:noWrap/>
            <w:vAlign w:val="bottom"/>
            <w:hideMark/>
          </w:tcPr>
          <w:p w14:paraId="49ECE38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1,775</w:t>
            </w:r>
          </w:p>
        </w:tc>
        <w:tc>
          <w:tcPr>
            <w:tcW w:w="709" w:type="dxa"/>
            <w:tcBorders>
              <w:top w:val="nil"/>
              <w:left w:val="nil"/>
              <w:bottom w:val="nil"/>
              <w:right w:val="nil"/>
            </w:tcBorders>
            <w:shd w:val="clear" w:color="auto" w:fill="auto"/>
            <w:noWrap/>
            <w:vAlign w:val="bottom"/>
            <w:hideMark/>
          </w:tcPr>
          <w:p w14:paraId="1FE18D8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-45%</w:t>
            </w:r>
          </w:p>
        </w:tc>
      </w:tr>
      <w:tr w:rsidR="0064654E" w:rsidRPr="0064654E" w14:paraId="5B3F44EC" w14:textId="77777777" w:rsidTr="0064654E">
        <w:trPr>
          <w:trHeight w:val="20"/>
        </w:trPr>
        <w:tc>
          <w:tcPr>
            <w:tcW w:w="1418" w:type="dxa"/>
            <w:tcBorders>
              <w:top w:val="nil"/>
              <w:left w:val="nil"/>
              <w:bottom w:val="nil"/>
              <w:right w:val="nil"/>
            </w:tcBorders>
            <w:shd w:val="clear" w:color="auto" w:fill="auto"/>
            <w:noWrap/>
            <w:vAlign w:val="bottom"/>
            <w:hideMark/>
          </w:tcPr>
          <w:p w14:paraId="23DC54EA"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南京</w:t>
            </w:r>
          </w:p>
        </w:tc>
        <w:tc>
          <w:tcPr>
            <w:tcW w:w="993" w:type="dxa"/>
            <w:tcBorders>
              <w:top w:val="nil"/>
              <w:left w:val="single" w:sz="4" w:space="0" w:color="auto"/>
              <w:bottom w:val="nil"/>
              <w:right w:val="nil"/>
            </w:tcBorders>
            <w:shd w:val="clear" w:color="auto" w:fill="auto"/>
            <w:noWrap/>
            <w:vAlign w:val="bottom"/>
            <w:hideMark/>
          </w:tcPr>
          <w:p w14:paraId="56B26B7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252,908</w:t>
            </w:r>
          </w:p>
        </w:tc>
        <w:tc>
          <w:tcPr>
            <w:tcW w:w="708" w:type="dxa"/>
            <w:tcBorders>
              <w:top w:val="nil"/>
              <w:left w:val="nil"/>
              <w:bottom w:val="nil"/>
              <w:right w:val="nil"/>
            </w:tcBorders>
            <w:shd w:val="clear" w:color="auto" w:fill="auto"/>
            <w:noWrap/>
            <w:vAlign w:val="bottom"/>
            <w:hideMark/>
          </w:tcPr>
          <w:p w14:paraId="15D1F25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46%</w:t>
            </w:r>
          </w:p>
        </w:tc>
        <w:tc>
          <w:tcPr>
            <w:tcW w:w="851" w:type="dxa"/>
            <w:tcBorders>
              <w:top w:val="nil"/>
              <w:left w:val="nil"/>
              <w:bottom w:val="nil"/>
              <w:right w:val="nil"/>
            </w:tcBorders>
            <w:shd w:val="clear" w:color="auto" w:fill="auto"/>
            <w:noWrap/>
            <w:vAlign w:val="bottom"/>
            <w:hideMark/>
          </w:tcPr>
          <w:p w14:paraId="324A2D2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38%</w:t>
            </w:r>
          </w:p>
        </w:tc>
        <w:tc>
          <w:tcPr>
            <w:tcW w:w="711" w:type="dxa"/>
            <w:tcBorders>
              <w:top w:val="nil"/>
              <w:left w:val="single" w:sz="4" w:space="0" w:color="auto"/>
              <w:bottom w:val="nil"/>
              <w:right w:val="nil"/>
            </w:tcBorders>
            <w:shd w:val="clear" w:color="auto" w:fill="auto"/>
            <w:noWrap/>
            <w:vAlign w:val="bottom"/>
            <w:hideMark/>
          </w:tcPr>
          <w:p w14:paraId="62B3D4B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710</w:t>
            </w:r>
          </w:p>
        </w:tc>
        <w:tc>
          <w:tcPr>
            <w:tcW w:w="756" w:type="dxa"/>
            <w:tcBorders>
              <w:top w:val="nil"/>
              <w:left w:val="nil"/>
              <w:bottom w:val="nil"/>
              <w:right w:val="nil"/>
            </w:tcBorders>
            <w:shd w:val="clear" w:color="auto" w:fill="auto"/>
            <w:noWrap/>
            <w:vAlign w:val="bottom"/>
            <w:hideMark/>
          </w:tcPr>
          <w:p w14:paraId="27F4414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75%</w:t>
            </w:r>
          </w:p>
        </w:tc>
        <w:tc>
          <w:tcPr>
            <w:tcW w:w="666" w:type="dxa"/>
            <w:tcBorders>
              <w:top w:val="nil"/>
              <w:left w:val="nil"/>
              <w:bottom w:val="nil"/>
              <w:right w:val="nil"/>
            </w:tcBorders>
            <w:shd w:val="clear" w:color="auto" w:fill="auto"/>
            <w:noWrap/>
            <w:vAlign w:val="bottom"/>
            <w:hideMark/>
          </w:tcPr>
          <w:p w14:paraId="60782D1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w:t>
            </w:r>
          </w:p>
        </w:tc>
        <w:tc>
          <w:tcPr>
            <w:tcW w:w="702" w:type="dxa"/>
            <w:tcBorders>
              <w:top w:val="nil"/>
              <w:left w:val="single" w:sz="4" w:space="0" w:color="auto"/>
              <w:bottom w:val="nil"/>
              <w:right w:val="nil"/>
            </w:tcBorders>
            <w:shd w:val="clear" w:color="auto" w:fill="auto"/>
            <w:noWrap/>
            <w:vAlign w:val="bottom"/>
            <w:hideMark/>
          </w:tcPr>
          <w:p w14:paraId="7D67647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177</w:t>
            </w:r>
          </w:p>
        </w:tc>
        <w:tc>
          <w:tcPr>
            <w:tcW w:w="666" w:type="dxa"/>
            <w:tcBorders>
              <w:top w:val="nil"/>
              <w:left w:val="nil"/>
              <w:bottom w:val="nil"/>
              <w:right w:val="nil"/>
            </w:tcBorders>
            <w:shd w:val="clear" w:color="auto" w:fill="auto"/>
            <w:noWrap/>
            <w:vAlign w:val="bottom"/>
            <w:hideMark/>
          </w:tcPr>
          <w:p w14:paraId="0286D6A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77%</w:t>
            </w:r>
          </w:p>
        </w:tc>
        <w:tc>
          <w:tcPr>
            <w:tcW w:w="666" w:type="dxa"/>
            <w:tcBorders>
              <w:top w:val="nil"/>
              <w:left w:val="nil"/>
              <w:bottom w:val="nil"/>
              <w:right w:val="nil"/>
            </w:tcBorders>
            <w:shd w:val="clear" w:color="auto" w:fill="auto"/>
            <w:noWrap/>
            <w:vAlign w:val="bottom"/>
            <w:hideMark/>
          </w:tcPr>
          <w:p w14:paraId="09E62E13"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88%</w:t>
            </w:r>
          </w:p>
        </w:tc>
        <w:tc>
          <w:tcPr>
            <w:tcW w:w="794" w:type="dxa"/>
            <w:tcBorders>
              <w:top w:val="nil"/>
              <w:left w:val="single" w:sz="4" w:space="0" w:color="auto"/>
              <w:bottom w:val="nil"/>
              <w:right w:val="nil"/>
            </w:tcBorders>
            <w:shd w:val="clear" w:color="auto" w:fill="auto"/>
            <w:noWrap/>
            <w:vAlign w:val="bottom"/>
            <w:hideMark/>
          </w:tcPr>
          <w:p w14:paraId="5E823B1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1,665</w:t>
            </w:r>
          </w:p>
        </w:tc>
        <w:tc>
          <w:tcPr>
            <w:tcW w:w="709" w:type="dxa"/>
            <w:tcBorders>
              <w:top w:val="nil"/>
              <w:left w:val="nil"/>
              <w:bottom w:val="nil"/>
              <w:right w:val="nil"/>
            </w:tcBorders>
            <w:shd w:val="clear" w:color="auto" w:fill="auto"/>
            <w:noWrap/>
            <w:vAlign w:val="bottom"/>
            <w:hideMark/>
          </w:tcPr>
          <w:p w14:paraId="45229873"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10%</w:t>
            </w:r>
          </w:p>
        </w:tc>
      </w:tr>
      <w:tr w:rsidR="0064654E" w:rsidRPr="0064654E" w14:paraId="161A0F0D" w14:textId="77777777" w:rsidTr="0064654E">
        <w:trPr>
          <w:trHeight w:val="20"/>
        </w:trPr>
        <w:tc>
          <w:tcPr>
            <w:tcW w:w="1418" w:type="dxa"/>
            <w:tcBorders>
              <w:top w:val="nil"/>
              <w:left w:val="nil"/>
              <w:bottom w:val="nil"/>
              <w:right w:val="nil"/>
            </w:tcBorders>
            <w:shd w:val="clear" w:color="auto" w:fill="auto"/>
            <w:noWrap/>
            <w:vAlign w:val="bottom"/>
            <w:hideMark/>
          </w:tcPr>
          <w:p w14:paraId="25440713"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杭州</w:t>
            </w:r>
          </w:p>
        </w:tc>
        <w:tc>
          <w:tcPr>
            <w:tcW w:w="993" w:type="dxa"/>
            <w:tcBorders>
              <w:top w:val="nil"/>
              <w:left w:val="single" w:sz="4" w:space="0" w:color="auto"/>
              <w:bottom w:val="nil"/>
              <w:right w:val="nil"/>
            </w:tcBorders>
            <w:shd w:val="clear" w:color="auto" w:fill="auto"/>
            <w:noWrap/>
            <w:vAlign w:val="bottom"/>
            <w:hideMark/>
          </w:tcPr>
          <w:p w14:paraId="3DD0289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155,488</w:t>
            </w:r>
          </w:p>
        </w:tc>
        <w:tc>
          <w:tcPr>
            <w:tcW w:w="708" w:type="dxa"/>
            <w:tcBorders>
              <w:top w:val="nil"/>
              <w:left w:val="nil"/>
              <w:bottom w:val="nil"/>
              <w:right w:val="nil"/>
            </w:tcBorders>
            <w:shd w:val="clear" w:color="auto" w:fill="auto"/>
            <w:noWrap/>
            <w:vAlign w:val="bottom"/>
            <w:hideMark/>
          </w:tcPr>
          <w:p w14:paraId="75B2D82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24%</w:t>
            </w:r>
          </w:p>
        </w:tc>
        <w:tc>
          <w:tcPr>
            <w:tcW w:w="851" w:type="dxa"/>
            <w:tcBorders>
              <w:top w:val="nil"/>
              <w:left w:val="nil"/>
              <w:bottom w:val="nil"/>
              <w:right w:val="nil"/>
            </w:tcBorders>
            <w:shd w:val="clear" w:color="auto" w:fill="auto"/>
            <w:noWrap/>
            <w:vAlign w:val="bottom"/>
            <w:hideMark/>
          </w:tcPr>
          <w:p w14:paraId="691BA7E2"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w:t>
            </w:r>
          </w:p>
        </w:tc>
        <w:tc>
          <w:tcPr>
            <w:tcW w:w="711" w:type="dxa"/>
            <w:tcBorders>
              <w:top w:val="nil"/>
              <w:left w:val="single" w:sz="4" w:space="0" w:color="auto"/>
              <w:bottom w:val="nil"/>
              <w:right w:val="nil"/>
            </w:tcBorders>
            <w:shd w:val="clear" w:color="auto" w:fill="auto"/>
            <w:noWrap/>
            <w:vAlign w:val="bottom"/>
            <w:hideMark/>
          </w:tcPr>
          <w:p w14:paraId="6504873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628</w:t>
            </w:r>
          </w:p>
        </w:tc>
        <w:tc>
          <w:tcPr>
            <w:tcW w:w="756" w:type="dxa"/>
            <w:tcBorders>
              <w:top w:val="nil"/>
              <w:left w:val="nil"/>
              <w:bottom w:val="nil"/>
              <w:right w:val="nil"/>
            </w:tcBorders>
            <w:shd w:val="clear" w:color="auto" w:fill="auto"/>
            <w:noWrap/>
            <w:vAlign w:val="bottom"/>
            <w:hideMark/>
          </w:tcPr>
          <w:p w14:paraId="79C3CAA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147%</w:t>
            </w:r>
          </w:p>
        </w:tc>
        <w:tc>
          <w:tcPr>
            <w:tcW w:w="666" w:type="dxa"/>
            <w:tcBorders>
              <w:top w:val="nil"/>
              <w:left w:val="nil"/>
              <w:bottom w:val="nil"/>
              <w:right w:val="nil"/>
            </w:tcBorders>
            <w:shd w:val="clear" w:color="auto" w:fill="auto"/>
            <w:noWrap/>
            <w:vAlign w:val="bottom"/>
            <w:hideMark/>
          </w:tcPr>
          <w:p w14:paraId="67415C2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w:t>
            </w:r>
          </w:p>
        </w:tc>
        <w:tc>
          <w:tcPr>
            <w:tcW w:w="702" w:type="dxa"/>
            <w:tcBorders>
              <w:top w:val="nil"/>
              <w:left w:val="single" w:sz="4" w:space="0" w:color="auto"/>
              <w:bottom w:val="nil"/>
              <w:right w:val="nil"/>
            </w:tcBorders>
            <w:shd w:val="clear" w:color="auto" w:fill="auto"/>
            <w:noWrap/>
            <w:vAlign w:val="bottom"/>
            <w:hideMark/>
          </w:tcPr>
          <w:p w14:paraId="517A148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76</w:t>
            </w:r>
          </w:p>
        </w:tc>
        <w:tc>
          <w:tcPr>
            <w:tcW w:w="666" w:type="dxa"/>
            <w:tcBorders>
              <w:top w:val="nil"/>
              <w:left w:val="nil"/>
              <w:bottom w:val="nil"/>
              <w:right w:val="nil"/>
            </w:tcBorders>
            <w:shd w:val="clear" w:color="auto" w:fill="auto"/>
            <w:noWrap/>
            <w:vAlign w:val="bottom"/>
            <w:hideMark/>
          </w:tcPr>
          <w:p w14:paraId="53721AE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-38%</w:t>
            </w:r>
          </w:p>
        </w:tc>
        <w:tc>
          <w:tcPr>
            <w:tcW w:w="666" w:type="dxa"/>
            <w:tcBorders>
              <w:top w:val="nil"/>
              <w:left w:val="nil"/>
              <w:bottom w:val="nil"/>
              <w:right w:val="nil"/>
            </w:tcBorders>
            <w:shd w:val="clear" w:color="auto" w:fill="auto"/>
            <w:noWrap/>
            <w:vAlign w:val="bottom"/>
            <w:hideMark/>
          </w:tcPr>
          <w:p w14:paraId="5B7F72B9"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53%</w:t>
            </w:r>
          </w:p>
        </w:tc>
        <w:tc>
          <w:tcPr>
            <w:tcW w:w="794" w:type="dxa"/>
            <w:tcBorders>
              <w:top w:val="nil"/>
              <w:left w:val="single" w:sz="4" w:space="0" w:color="auto"/>
              <w:bottom w:val="nil"/>
              <w:right w:val="nil"/>
            </w:tcBorders>
            <w:shd w:val="clear" w:color="auto" w:fill="auto"/>
            <w:noWrap/>
            <w:vAlign w:val="bottom"/>
            <w:hideMark/>
          </w:tcPr>
          <w:p w14:paraId="43611CB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1,443</w:t>
            </w:r>
          </w:p>
        </w:tc>
        <w:tc>
          <w:tcPr>
            <w:tcW w:w="709" w:type="dxa"/>
            <w:tcBorders>
              <w:top w:val="nil"/>
              <w:left w:val="nil"/>
              <w:bottom w:val="nil"/>
              <w:right w:val="nil"/>
            </w:tcBorders>
            <w:shd w:val="clear" w:color="auto" w:fill="auto"/>
            <w:noWrap/>
            <w:vAlign w:val="bottom"/>
            <w:hideMark/>
          </w:tcPr>
          <w:p w14:paraId="7F987053"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w:t>
            </w:r>
          </w:p>
        </w:tc>
      </w:tr>
      <w:tr w:rsidR="0064654E" w:rsidRPr="0064654E" w14:paraId="0D79008A" w14:textId="77777777" w:rsidTr="0064654E">
        <w:trPr>
          <w:trHeight w:val="20"/>
        </w:trPr>
        <w:tc>
          <w:tcPr>
            <w:tcW w:w="1418" w:type="dxa"/>
            <w:tcBorders>
              <w:top w:val="nil"/>
              <w:left w:val="nil"/>
              <w:bottom w:val="nil"/>
              <w:right w:val="nil"/>
            </w:tcBorders>
            <w:shd w:val="clear" w:color="auto" w:fill="auto"/>
            <w:noWrap/>
            <w:vAlign w:val="bottom"/>
            <w:hideMark/>
          </w:tcPr>
          <w:p w14:paraId="00C0129C"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苏州</w:t>
            </w:r>
          </w:p>
        </w:tc>
        <w:tc>
          <w:tcPr>
            <w:tcW w:w="993" w:type="dxa"/>
            <w:tcBorders>
              <w:top w:val="nil"/>
              <w:left w:val="single" w:sz="4" w:space="0" w:color="auto"/>
              <w:bottom w:val="nil"/>
              <w:right w:val="nil"/>
            </w:tcBorders>
            <w:shd w:val="clear" w:color="auto" w:fill="auto"/>
            <w:noWrap/>
            <w:vAlign w:val="bottom"/>
            <w:hideMark/>
          </w:tcPr>
          <w:p w14:paraId="6396969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190,866</w:t>
            </w:r>
          </w:p>
        </w:tc>
        <w:tc>
          <w:tcPr>
            <w:tcW w:w="708" w:type="dxa"/>
            <w:tcBorders>
              <w:top w:val="nil"/>
              <w:left w:val="nil"/>
              <w:bottom w:val="nil"/>
              <w:right w:val="nil"/>
            </w:tcBorders>
            <w:shd w:val="clear" w:color="auto" w:fill="auto"/>
            <w:noWrap/>
            <w:vAlign w:val="bottom"/>
            <w:hideMark/>
          </w:tcPr>
          <w:p w14:paraId="231B968B"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52%</w:t>
            </w:r>
          </w:p>
        </w:tc>
        <w:tc>
          <w:tcPr>
            <w:tcW w:w="851" w:type="dxa"/>
            <w:tcBorders>
              <w:top w:val="nil"/>
              <w:left w:val="nil"/>
              <w:bottom w:val="nil"/>
              <w:right w:val="nil"/>
            </w:tcBorders>
            <w:shd w:val="clear" w:color="auto" w:fill="auto"/>
            <w:noWrap/>
            <w:vAlign w:val="bottom"/>
            <w:hideMark/>
          </w:tcPr>
          <w:p w14:paraId="746B0B3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w:t>
            </w:r>
          </w:p>
        </w:tc>
        <w:tc>
          <w:tcPr>
            <w:tcW w:w="711" w:type="dxa"/>
            <w:tcBorders>
              <w:top w:val="nil"/>
              <w:left w:val="single" w:sz="4" w:space="0" w:color="auto"/>
              <w:bottom w:val="nil"/>
              <w:right w:val="nil"/>
            </w:tcBorders>
            <w:shd w:val="clear" w:color="auto" w:fill="auto"/>
            <w:noWrap/>
            <w:vAlign w:val="bottom"/>
            <w:hideMark/>
          </w:tcPr>
          <w:p w14:paraId="499A2A1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667</w:t>
            </w:r>
          </w:p>
        </w:tc>
        <w:tc>
          <w:tcPr>
            <w:tcW w:w="756" w:type="dxa"/>
            <w:tcBorders>
              <w:top w:val="nil"/>
              <w:left w:val="nil"/>
              <w:bottom w:val="nil"/>
              <w:right w:val="nil"/>
            </w:tcBorders>
            <w:shd w:val="clear" w:color="auto" w:fill="auto"/>
            <w:noWrap/>
            <w:vAlign w:val="bottom"/>
            <w:hideMark/>
          </w:tcPr>
          <w:p w14:paraId="3A4D06B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68%</w:t>
            </w:r>
          </w:p>
        </w:tc>
        <w:tc>
          <w:tcPr>
            <w:tcW w:w="666" w:type="dxa"/>
            <w:tcBorders>
              <w:top w:val="nil"/>
              <w:left w:val="nil"/>
              <w:bottom w:val="nil"/>
              <w:right w:val="nil"/>
            </w:tcBorders>
            <w:shd w:val="clear" w:color="auto" w:fill="auto"/>
            <w:noWrap/>
            <w:vAlign w:val="bottom"/>
            <w:hideMark/>
          </w:tcPr>
          <w:p w14:paraId="3807CFA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w:t>
            </w:r>
          </w:p>
        </w:tc>
        <w:tc>
          <w:tcPr>
            <w:tcW w:w="702" w:type="dxa"/>
            <w:tcBorders>
              <w:top w:val="nil"/>
              <w:left w:val="single" w:sz="4" w:space="0" w:color="auto"/>
              <w:bottom w:val="nil"/>
              <w:right w:val="nil"/>
            </w:tcBorders>
            <w:shd w:val="clear" w:color="auto" w:fill="auto"/>
            <w:noWrap/>
            <w:vAlign w:val="bottom"/>
            <w:hideMark/>
          </w:tcPr>
          <w:p w14:paraId="1EB641D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121</w:t>
            </w:r>
          </w:p>
        </w:tc>
        <w:tc>
          <w:tcPr>
            <w:tcW w:w="666" w:type="dxa"/>
            <w:tcBorders>
              <w:top w:val="nil"/>
              <w:left w:val="nil"/>
              <w:bottom w:val="nil"/>
              <w:right w:val="nil"/>
            </w:tcBorders>
            <w:shd w:val="clear" w:color="auto" w:fill="auto"/>
            <w:noWrap/>
            <w:vAlign w:val="bottom"/>
            <w:hideMark/>
          </w:tcPr>
          <w:p w14:paraId="5107A3F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26%</w:t>
            </w:r>
          </w:p>
        </w:tc>
        <w:tc>
          <w:tcPr>
            <w:tcW w:w="666" w:type="dxa"/>
            <w:tcBorders>
              <w:top w:val="nil"/>
              <w:left w:val="nil"/>
              <w:bottom w:val="nil"/>
              <w:right w:val="nil"/>
            </w:tcBorders>
            <w:shd w:val="clear" w:color="auto" w:fill="auto"/>
            <w:noWrap/>
            <w:vAlign w:val="bottom"/>
            <w:hideMark/>
          </w:tcPr>
          <w:p w14:paraId="2D2A786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30%</w:t>
            </w:r>
          </w:p>
        </w:tc>
        <w:tc>
          <w:tcPr>
            <w:tcW w:w="794" w:type="dxa"/>
            <w:tcBorders>
              <w:top w:val="nil"/>
              <w:left w:val="single" w:sz="4" w:space="0" w:color="auto"/>
              <w:bottom w:val="nil"/>
              <w:right w:val="nil"/>
            </w:tcBorders>
            <w:shd w:val="clear" w:color="auto" w:fill="auto"/>
            <w:noWrap/>
            <w:vAlign w:val="bottom"/>
            <w:hideMark/>
          </w:tcPr>
          <w:p w14:paraId="5158CA7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1,721</w:t>
            </w:r>
          </w:p>
        </w:tc>
        <w:tc>
          <w:tcPr>
            <w:tcW w:w="709" w:type="dxa"/>
            <w:tcBorders>
              <w:top w:val="nil"/>
              <w:left w:val="nil"/>
              <w:bottom w:val="nil"/>
              <w:right w:val="nil"/>
            </w:tcBorders>
            <w:shd w:val="clear" w:color="auto" w:fill="auto"/>
            <w:noWrap/>
            <w:vAlign w:val="bottom"/>
            <w:hideMark/>
          </w:tcPr>
          <w:p w14:paraId="565B73D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-11%</w:t>
            </w:r>
          </w:p>
        </w:tc>
      </w:tr>
      <w:tr w:rsidR="0064654E" w:rsidRPr="0064654E" w14:paraId="417507B5" w14:textId="77777777" w:rsidTr="0064654E">
        <w:trPr>
          <w:trHeight w:val="20"/>
        </w:trPr>
        <w:tc>
          <w:tcPr>
            <w:tcW w:w="1418" w:type="dxa"/>
            <w:tcBorders>
              <w:top w:val="nil"/>
              <w:left w:val="nil"/>
              <w:bottom w:val="nil"/>
              <w:right w:val="nil"/>
            </w:tcBorders>
            <w:shd w:val="clear" w:color="auto" w:fill="auto"/>
            <w:noWrap/>
            <w:vAlign w:val="bottom"/>
            <w:hideMark/>
          </w:tcPr>
          <w:p w14:paraId="76166F64"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无锡</w:t>
            </w:r>
          </w:p>
        </w:tc>
        <w:tc>
          <w:tcPr>
            <w:tcW w:w="993" w:type="dxa"/>
            <w:tcBorders>
              <w:top w:val="nil"/>
              <w:left w:val="single" w:sz="4" w:space="0" w:color="auto"/>
              <w:bottom w:val="nil"/>
              <w:right w:val="nil"/>
            </w:tcBorders>
            <w:shd w:val="clear" w:color="auto" w:fill="auto"/>
            <w:noWrap/>
            <w:vAlign w:val="bottom"/>
            <w:hideMark/>
          </w:tcPr>
          <w:p w14:paraId="55BC578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82,800</w:t>
            </w:r>
          </w:p>
        </w:tc>
        <w:tc>
          <w:tcPr>
            <w:tcW w:w="708" w:type="dxa"/>
            <w:tcBorders>
              <w:top w:val="nil"/>
              <w:left w:val="nil"/>
              <w:bottom w:val="nil"/>
              <w:right w:val="nil"/>
            </w:tcBorders>
            <w:shd w:val="clear" w:color="auto" w:fill="auto"/>
            <w:noWrap/>
            <w:vAlign w:val="bottom"/>
            <w:hideMark/>
          </w:tcPr>
          <w:p w14:paraId="3577786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-23%</w:t>
            </w:r>
          </w:p>
        </w:tc>
        <w:tc>
          <w:tcPr>
            <w:tcW w:w="851" w:type="dxa"/>
            <w:tcBorders>
              <w:top w:val="nil"/>
              <w:left w:val="nil"/>
              <w:bottom w:val="nil"/>
              <w:right w:val="nil"/>
            </w:tcBorders>
            <w:shd w:val="clear" w:color="auto" w:fill="auto"/>
            <w:noWrap/>
            <w:vAlign w:val="bottom"/>
            <w:hideMark/>
          </w:tcPr>
          <w:p w14:paraId="435268B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-39%</w:t>
            </w:r>
          </w:p>
        </w:tc>
        <w:tc>
          <w:tcPr>
            <w:tcW w:w="711" w:type="dxa"/>
            <w:tcBorders>
              <w:top w:val="nil"/>
              <w:left w:val="single" w:sz="4" w:space="0" w:color="auto"/>
              <w:bottom w:val="nil"/>
              <w:right w:val="nil"/>
            </w:tcBorders>
            <w:shd w:val="clear" w:color="auto" w:fill="auto"/>
            <w:noWrap/>
            <w:vAlign w:val="bottom"/>
            <w:hideMark/>
          </w:tcPr>
          <w:p w14:paraId="4B8762B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408</w:t>
            </w:r>
          </w:p>
        </w:tc>
        <w:tc>
          <w:tcPr>
            <w:tcW w:w="756" w:type="dxa"/>
            <w:tcBorders>
              <w:top w:val="nil"/>
              <w:left w:val="nil"/>
              <w:bottom w:val="nil"/>
              <w:right w:val="nil"/>
            </w:tcBorders>
            <w:shd w:val="clear" w:color="auto" w:fill="auto"/>
            <w:noWrap/>
            <w:vAlign w:val="bottom"/>
            <w:hideMark/>
          </w:tcPr>
          <w:p w14:paraId="23E3999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187%</w:t>
            </w:r>
          </w:p>
        </w:tc>
        <w:tc>
          <w:tcPr>
            <w:tcW w:w="666" w:type="dxa"/>
            <w:tcBorders>
              <w:top w:val="nil"/>
              <w:left w:val="nil"/>
              <w:bottom w:val="nil"/>
              <w:right w:val="nil"/>
            </w:tcBorders>
            <w:shd w:val="clear" w:color="auto" w:fill="auto"/>
            <w:noWrap/>
            <w:vAlign w:val="bottom"/>
            <w:hideMark/>
          </w:tcPr>
          <w:p w14:paraId="6D891BA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-33%</w:t>
            </w:r>
          </w:p>
        </w:tc>
        <w:tc>
          <w:tcPr>
            <w:tcW w:w="702" w:type="dxa"/>
            <w:tcBorders>
              <w:top w:val="nil"/>
              <w:left w:val="single" w:sz="4" w:space="0" w:color="auto"/>
              <w:bottom w:val="nil"/>
              <w:right w:val="nil"/>
            </w:tcBorders>
            <w:shd w:val="clear" w:color="auto" w:fill="auto"/>
            <w:noWrap/>
            <w:vAlign w:val="bottom"/>
            <w:hideMark/>
          </w:tcPr>
          <w:p w14:paraId="3FF622D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0</w:t>
            </w:r>
          </w:p>
        </w:tc>
        <w:tc>
          <w:tcPr>
            <w:tcW w:w="666" w:type="dxa"/>
            <w:tcBorders>
              <w:top w:val="nil"/>
              <w:left w:val="nil"/>
              <w:bottom w:val="nil"/>
              <w:right w:val="nil"/>
            </w:tcBorders>
            <w:shd w:val="clear" w:color="auto" w:fill="auto"/>
            <w:noWrap/>
            <w:vAlign w:val="bottom"/>
            <w:hideMark/>
          </w:tcPr>
          <w:p w14:paraId="60A472C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w:t>
            </w:r>
          </w:p>
        </w:tc>
        <w:tc>
          <w:tcPr>
            <w:tcW w:w="666" w:type="dxa"/>
            <w:tcBorders>
              <w:top w:val="nil"/>
              <w:left w:val="nil"/>
              <w:bottom w:val="nil"/>
              <w:right w:val="nil"/>
            </w:tcBorders>
            <w:shd w:val="clear" w:color="auto" w:fill="auto"/>
            <w:noWrap/>
            <w:vAlign w:val="bottom"/>
            <w:hideMark/>
          </w:tcPr>
          <w:p w14:paraId="1FD4AEE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w:t>
            </w:r>
          </w:p>
        </w:tc>
        <w:tc>
          <w:tcPr>
            <w:tcW w:w="794" w:type="dxa"/>
            <w:tcBorders>
              <w:top w:val="nil"/>
              <w:left w:val="single" w:sz="4" w:space="0" w:color="auto"/>
              <w:bottom w:val="nil"/>
              <w:right w:val="nil"/>
            </w:tcBorders>
            <w:shd w:val="clear" w:color="auto" w:fill="auto"/>
            <w:noWrap/>
            <w:vAlign w:val="bottom"/>
            <w:hideMark/>
          </w:tcPr>
          <w:p w14:paraId="3D47005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871</w:t>
            </w:r>
          </w:p>
        </w:tc>
        <w:tc>
          <w:tcPr>
            <w:tcW w:w="709" w:type="dxa"/>
            <w:tcBorders>
              <w:top w:val="nil"/>
              <w:left w:val="nil"/>
              <w:bottom w:val="nil"/>
              <w:right w:val="nil"/>
            </w:tcBorders>
            <w:shd w:val="clear" w:color="auto" w:fill="auto"/>
            <w:noWrap/>
            <w:vAlign w:val="bottom"/>
            <w:hideMark/>
          </w:tcPr>
          <w:p w14:paraId="67E46EA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-34%</w:t>
            </w:r>
          </w:p>
        </w:tc>
      </w:tr>
      <w:tr w:rsidR="0064654E" w:rsidRPr="0064654E" w14:paraId="781CFCA9" w14:textId="77777777" w:rsidTr="0064654E">
        <w:trPr>
          <w:trHeight w:val="20"/>
        </w:trPr>
        <w:tc>
          <w:tcPr>
            <w:tcW w:w="1418" w:type="dxa"/>
            <w:tcBorders>
              <w:top w:val="nil"/>
              <w:left w:val="nil"/>
              <w:bottom w:val="nil"/>
              <w:right w:val="nil"/>
            </w:tcBorders>
            <w:shd w:val="clear" w:color="auto" w:fill="auto"/>
            <w:noWrap/>
            <w:vAlign w:val="bottom"/>
            <w:hideMark/>
          </w:tcPr>
          <w:p w14:paraId="41B56FD7"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扬州</w:t>
            </w:r>
          </w:p>
        </w:tc>
        <w:tc>
          <w:tcPr>
            <w:tcW w:w="993" w:type="dxa"/>
            <w:tcBorders>
              <w:top w:val="nil"/>
              <w:left w:val="single" w:sz="4" w:space="0" w:color="auto"/>
              <w:bottom w:val="nil"/>
              <w:right w:val="nil"/>
            </w:tcBorders>
            <w:shd w:val="clear" w:color="auto" w:fill="auto"/>
            <w:noWrap/>
            <w:vAlign w:val="bottom"/>
            <w:hideMark/>
          </w:tcPr>
          <w:p w14:paraId="689050B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24,008</w:t>
            </w:r>
          </w:p>
        </w:tc>
        <w:tc>
          <w:tcPr>
            <w:tcW w:w="708" w:type="dxa"/>
            <w:tcBorders>
              <w:top w:val="nil"/>
              <w:left w:val="nil"/>
              <w:bottom w:val="nil"/>
              <w:right w:val="nil"/>
            </w:tcBorders>
            <w:shd w:val="clear" w:color="auto" w:fill="auto"/>
            <w:noWrap/>
            <w:vAlign w:val="bottom"/>
            <w:hideMark/>
          </w:tcPr>
          <w:p w14:paraId="03754C8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-39%</w:t>
            </w:r>
          </w:p>
        </w:tc>
        <w:tc>
          <w:tcPr>
            <w:tcW w:w="851" w:type="dxa"/>
            <w:tcBorders>
              <w:top w:val="nil"/>
              <w:left w:val="nil"/>
              <w:bottom w:val="nil"/>
              <w:right w:val="nil"/>
            </w:tcBorders>
            <w:shd w:val="clear" w:color="auto" w:fill="auto"/>
            <w:noWrap/>
            <w:vAlign w:val="bottom"/>
            <w:hideMark/>
          </w:tcPr>
          <w:p w14:paraId="4604CA6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-18%</w:t>
            </w:r>
          </w:p>
        </w:tc>
        <w:tc>
          <w:tcPr>
            <w:tcW w:w="711" w:type="dxa"/>
            <w:tcBorders>
              <w:top w:val="nil"/>
              <w:left w:val="single" w:sz="4" w:space="0" w:color="auto"/>
              <w:bottom w:val="nil"/>
              <w:right w:val="nil"/>
            </w:tcBorders>
            <w:shd w:val="clear" w:color="auto" w:fill="auto"/>
            <w:noWrap/>
            <w:vAlign w:val="bottom"/>
            <w:hideMark/>
          </w:tcPr>
          <w:p w14:paraId="40D5AD9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179</w:t>
            </w:r>
          </w:p>
        </w:tc>
        <w:tc>
          <w:tcPr>
            <w:tcW w:w="756" w:type="dxa"/>
            <w:tcBorders>
              <w:top w:val="nil"/>
              <w:left w:val="nil"/>
              <w:bottom w:val="nil"/>
              <w:right w:val="nil"/>
            </w:tcBorders>
            <w:shd w:val="clear" w:color="auto" w:fill="auto"/>
            <w:noWrap/>
            <w:vAlign w:val="bottom"/>
            <w:hideMark/>
          </w:tcPr>
          <w:p w14:paraId="6070F0A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507%</w:t>
            </w:r>
          </w:p>
        </w:tc>
        <w:tc>
          <w:tcPr>
            <w:tcW w:w="666" w:type="dxa"/>
            <w:tcBorders>
              <w:top w:val="nil"/>
              <w:left w:val="nil"/>
              <w:bottom w:val="nil"/>
              <w:right w:val="nil"/>
            </w:tcBorders>
            <w:shd w:val="clear" w:color="auto" w:fill="auto"/>
            <w:noWrap/>
            <w:vAlign w:val="bottom"/>
            <w:hideMark/>
          </w:tcPr>
          <w:p w14:paraId="67CC904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w:t>
            </w:r>
          </w:p>
        </w:tc>
        <w:tc>
          <w:tcPr>
            <w:tcW w:w="702" w:type="dxa"/>
            <w:tcBorders>
              <w:top w:val="nil"/>
              <w:left w:val="single" w:sz="4" w:space="0" w:color="auto"/>
              <w:bottom w:val="nil"/>
              <w:right w:val="nil"/>
            </w:tcBorders>
            <w:shd w:val="clear" w:color="auto" w:fill="auto"/>
            <w:noWrap/>
            <w:vAlign w:val="bottom"/>
            <w:hideMark/>
          </w:tcPr>
          <w:p w14:paraId="2DC8DA2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24</w:t>
            </w:r>
          </w:p>
        </w:tc>
        <w:tc>
          <w:tcPr>
            <w:tcW w:w="666" w:type="dxa"/>
            <w:tcBorders>
              <w:top w:val="nil"/>
              <w:left w:val="nil"/>
              <w:bottom w:val="nil"/>
              <w:right w:val="nil"/>
            </w:tcBorders>
            <w:shd w:val="clear" w:color="auto" w:fill="auto"/>
            <w:noWrap/>
            <w:vAlign w:val="bottom"/>
            <w:hideMark/>
          </w:tcPr>
          <w:p w14:paraId="0D66C20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11%</w:t>
            </w:r>
          </w:p>
        </w:tc>
        <w:tc>
          <w:tcPr>
            <w:tcW w:w="666" w:type="dxa"/>
            <w:tcBorders>
              <w:top w:val="nil"/>
              <w:left w:val="nil"/>
              <w:bottom w:val="nil"/>
              <w:right w:val="nil"/>
            </w:tcBorders>
            <w:shd w:val="clear" w:color="auto" w:fill="auto"/>
            <w:noWrap/>
            <w:vAlign w:val="bottom"/>
            <w:hideMark/>
          </w:tcPr>
          <w:p w14:paraId="3A2E133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w:t>
            </w:r>
          </w:p>
        </w:tc>
        <w:tc>
          <w:tcPr>
            <w:tcW w:w="794" w:type="dxa"/>
            <w:tcBorders>
              <w:top w:val="nil"/>
              <w:left w:val="single" w:sz="4" w:space="0" w:color="auto"/>
              <w:bottom w:val="nil"/>
              <w:right w:val="nil"/>
            </w:tcBorders>
            <w:shd w:val="clear" w:color="auto" w:fill="auto"/>
            <w:noWrap/>
            <w:vAlign w:val="bottom"/>
            <w:hideMark/>
          </w:tcPr>
          <w:p w14:paraId="14A3A67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402</w:t>
            </w:r>
          </w:p>
        </w:tc>
        <w:tc>
          <w:tcPr>
            <w:tcW w:w="709" w:type="dxa"/>
            <w:tcBorders>
              <w:top w:val="nil"/>
              <w:left w:val="nil"/>
              <w:bottom w:val="nil"/>
              <w:right w:val="nil"/>
            </w:tcBorders>
            <w:shd w:val="clear" w:color="auto" w:fill="auto"/>
            <w:noWrap/>
            <w:vAlign w:val="bottom"/>
            <w:hideMark/>
          </w:tcPr>
          <w:p w14:paraId="6536886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w:t>
            </w:r>
          </w:p>
        </w:tc>
      </w:tr>
      <w:tr w:rsidR="0064654E" w:rsidRPr="0064654E" w14:paraId="12927447" w14:textId="77777777" w:rsidTr="0064654E">
        <w:trPr>
          <w:trHeight w:val="20"/>
        </w:trPr>
        <w:tc>
          <w:tcPr>
            <w:tcW w:w="1418" w:type="dxa"/>
            <w:tcBorders>
              <w:top w:val="nil"/>
              <w:left w:val="nil"/>
              <w:bottom w:val="nil"/>
              <w:right w:val="nil"/>
            </w:tcBorders>
            <w:shd w:val="clear" w:color="auto" w:fill="auto"/>
            <w:noWrap/>
            <w:vAlign w:val="bottom"/>
            <w:hideMark/>
          </w:tcPr>
          <w:p w14:paraId="0B15E6A5"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江阴</w:t>
            </w:r>
          </w:p>
        </w:tc>
        <w:tc>
          <w:tcPr>
            <w:tcW w:w="993" w:type="dxa"/>
            <w:tcBorders>
              <w:top w:val="nil"/>
              <w:left w:val="single" w:sz="4" w:space="0" w:color="auto"/>
              <w:bottom w:val="nil"/>
              <w:right w:val="nil"/>
            </w:tcBorders>
            <w:shd w:val="clear" w:color="auto" w:fill="auto"/>
            <w:noWrap/>
            <w:vAlign w:val="bottom"/>
            <w:hideMark/>
          </w:tcPr>
          <w:p w14:paraId="623DF62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50,156</w:t>
            </w:r>
          </w:p>
        </w:tc>
        <w:tc>
          <w:tcPr>
            <w:tcW w:w="708" w:type="dxa"/>
            <w:tcBorders>
              <w:top w:val="nil"/>
              <w:left w:val="nil"/>
              <w:bottom w:val="nil"/>
              <w:right w:val="nil"/>
            </w:tcBorders>
            <w:shd w:val="clear" w:color="auto" w:fill="auto"/>
            <w:noWrap/>
            <w:vAlign w:val="bottom"/>
            <w:hideMark/>
          </w:tcPr>
          <w:p w14:paraId="7E19D29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41%</w:t>
            </w:r>
          </w:p>
        </w:tc>
        <w:tc>
          <w:tcPr>
            <w:tcW w:w="851" w:type="dxa"/>
            <w:tcBorders>
              <w:top w:val="nil"/>
              <w:left w:val="nil"/>
              <w:bottom w:val="nil"/>
              <w:right w:val="nil"/>
            </w:tcBorders>
            <w:shd w:val="clear" w:color="auto" w:fill="auto"/>
            <w:noWrap/>
            <w:vAlign w:val="bottom"/>
            <w:hideMark/>
          </w:tcPr>
          <w:p w14:paraId="3FB0FE8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-18%</w:t>
            </w:r>
          </w:p>
        </w:tc>
        <w:tc>
          <w:tcPr>
            <w:tcW w:w="711" w:type="dxa"/>
            <w:tcBorders>
              <w:top w:val="nil"/>
              <w:left w:val="single" w:sz="4" w:space="0" w:color="auto"/>
              <w:bottom w:val="nil"/>
              <w:right w:val="nil"/>
            </w:tcBorders>
            <w:shd w:val="clear" w:color="auto" w:fill="auto"/>
            <w:noWrap/>
            <w:vAlign w:val="bottom"/>
            <w:hideMark/>
          </w:tcPr>
          <w:p w14:paraId="0421CE9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165</w:t>
            </w:r>
          </w:p>
        </w:tc>
        <w:tc>
          <w:tcPr>
            <w:tcW w:w="756" w:type="dxa"/>
            <w:tcBorders>
              <w:top w:val="nil"/>
              <w:left w:val="nil"/>
              <w:bottom w:val="nil"/>
              <w:right w:val="nil"/>
            </w:tcBorders>
            <w:shd w:val="clear" w:color="auto" w:fill="auto"/>
            <w:noWrap/>
            <w:vAlign w:val="bottom"/>
            <w:hideMark/>
          </w:tcPr>
          <w:p w14:paraId="1FFE9A1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291%</w:t>
            </w:r>
          </w:p>
        </w:tc>
        <w:tc>
          <w:tcPr>
            <w:tcW w:w="666" w:type="dxa"/>
            <w:tcBorders>
              <w:top w:val="nil"/>
              <w:left w:val="nil"/>
              <w:bottom w:val="nil"/>
              <w:right w:val="nil"/>
            </w:tcBorders>
            <w:shd w:val="clear" w:color="auto" w:fill="auto"/>
            <w:noWrap/>
            <w:vAlign w:val="bottom"/>
            <w:hideMark/>
          </w:tcPr>
          <w:p w14:paraId="056A698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-17%</w:t>
            </w:r>
          </w:p>
        </w:tc>
        <w:tc>
          <w:tcPr>
            <w:tcW w:w="702" w:type="dxa"/>
            <w:tcBorders>
              <w:top w:val="nil"/>
              <w:left w:val="single" w:sz="4" w:space="0" w:color="auto"/>
              <w:bottom w:val="nil"/>
              <w:right w:val="nil"/>
            </w:tcBorders>
            <w:shd w:val="clear" w:color="auto" w:fill="auto"/>
            <w:noWrap/>
            <w:vAlign w:val="bottom"/>
            <w:hideMark/>
          </w:tcPr>
          <w:p w14:paraId="5E5E4B1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17</w:t>
            </w:r>
          </w:p>
        </w:tc>
        <w:tc>
          <w:tcPr>
            <w:tcW w:w="666" w:type="dxa"/>
            <w:tcBorders>
              <w:top w:val="nil"/>
              <w:left w:val="nil"/>
              <w:bottom w:val="nil"/>
              <w:right w:val="nil"/>
            </w:tcBorders>
            <w:shd w:val="clear" w:color="auto" w:fill="auto"/>
            <w:noWrap/>
            <w:vAlign w:val="bottom"/>
            <w:hideMark/>
          </w:tcPr>
          <w:p w14:paraId="627360E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34%</w:t>
            </w:r>
          </w:p>
        </w:tc>
        <w:tc>
          <w:tcPr>
            <w:tcW w:w="666" w:type="dxa"/>
            <w:tcBorders>
              <w:top w:val="nil"/>
              <w:left w:val="nil"/>
              <w:bottom w:val="nil"/>
              <w:right w:val="nil"/>
            </w:tcBorders>
            <w:shd w:val="clear" w:color="auto" w:fill="auto"/>
            <w:noWrap/>
            <w:vAlign w:val="bottom"/>
            <w:hideMark/>
          </w:tcPr>
          <w:p w14:paraId="7F5A97C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-25%</w:t>
            </w:r>
          </w:p>
        </w:tc>
        <w:tc>
          <w:tcPr>
            <w:tcW w:w="794" w:type="dxa"/>
            <w:tcBorders>
              <w:top w:val="nil"/>
              <w:left w:val="single" w:sz="4" w:space="0" w:color="auto"/>
              <w:bottom w:val="nil"/>
              <w:right w:val="nil"/>
            </w:tcBorders>
            <w:shd w:val="clear" w:color="auto" w:fill="auto"/>
            <w:noWrap/>
            <w:vAlign w:val="bottom"/>
            <w:hideMark/>
          </w:tcPr>
          <w:p w14:paraId="517D76C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436</w:t>
            </w:r>
          </w:p>
        </w:tc>
        <w:tc>
          <w:tcPr>
            <w:tcW w:w="709" w:type="dxa"/>
            <w:tcBorders>
              <w:top w:val="nil"/>
              <w:left w:val="nil"/>
              <w:bottom w:val="nil"/>
              <w:right w:val="nil"/>
            </w:tcBorders>
            <w:shd w:val="clear" w:color="auto" w:fill="auto"/>
            <w:noWrap/>
            <w:vAlign w:val="bottom"/>
            <w:hideMark/>
          </w:tcPr>
          <w:p w14:paraId="5543514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-17%</w:t>
            </w:r>
          </w:p>
        </w:tc>
      </w:tr>
      <w:tr w:rsidR="0064654E" w:rsidRPr="0064654E" w14:paraId="0FDBFAFA" w14:textId="77777777" w:rsidTr="0064654E">
        <w:trPr>
          <w:trHeight w:val="20"/>
        </w:trPr>
        <w:tc>
          <w:tcPr>
            <w:tcW w:w="1418" w:type="dxa"/>
            <w:tcBorders>
              <w:top w:val="nil"/>
              <w:left w:val="nil"/>
              <w:bottom w:val="nil"/>
              <w:right w:val="nil"/>
            </w:tcBorders>
            <w:shd w:val="clear" w:color="auto" w:fill="auto"/>
            <w:noWrap/>
            <w:vAlign w:val="bottom"/>
            <w:hideMark/>
          </w:tcPr>
          <w:p w14:paraId="17838CF4"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温州</w:t>
            </w:r>
          </w:p>
        </w:tc>
        <w:tc>
          <w:tcPr>
            <w:tcW w:w="993" w:type="dxa"/>
            <w:tcBorders>
              <w:top w:val="nil"/>
              <w:left w:val="single" w:sz="4" w:space="0" w:color="auto"/>
              <w:bottom w:val="nil"/>
              <w:right w:val="nil"/>
            </w:tcBorders>
            <w:shd w:val="clear" w:color="auto" w:fill="auto"/>
            <w:noWrap/>
            <w:vAlign w:val="bottom"/>
            <w:hideMark/>
          </w:tcPr>
          <w:p w14:paraId="2CC3393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133,418</w:t>
            </w:r>
          </w:p>
        </w:tc>
        <w:tc>
          <w:tcPr>
            <w:tcW w:w="708" w:type="dxa"/>
            <w:tcBorders>
              <w:top w:val="nil"/>
              <w:left w:val="nil"/>
              <w:bottom w:val="nil"/>
              <w:right w:val="nil"/>
            </w:tcBorders>
            <w:shd w:val="clear" w:color="auto" w:fill="auto"/>
            <w:noWrap/>
            <w:vAlign w:val="bottom"/>
            <w:hideMark/>
          </w:tcPr>
          <w:p w14:paraId="5876E53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19%</w:t>
            </w:r>
          </w:p>
        </w:tc>
        <w:tc>
          <w:tcPr>
            <w:tcW w:w="851" w:type="dxa"/>
            <w:tcBorders>
              <w:top w:val="nil"/>
              <w:left w:val="nil"/>
              <w:bottom w:val="nil"/>
              <w:right w:val="nil"/>
            </w:tcBorders>
            <w:shd w:val="clear" w:color="auto" w:fill="auto"/>
            <w:noWrap/>
            <w:vAlign w:val="bottom"/>
            <w:hideMark/>
          </w:tcPr>
          <w:p w14:paraId="64457BC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-51%</w:t>
            </w:r>
          </w:p>
        </w:tc>
        <w:tc>
          <w:tcPr>
            <w:tcW w:w="711" w:type="dxa"/>
            <w:tcBorders>
              <w:top w:val="nil"/>
              <w:left w:val="single" w:sz="4" w:space="0" w:color="auto"/>
              <w:bottom w:val="nil"/>
              <w:right w:val="nil"/>
            </w:tcBorders>
            <w:shd w:val="clear" w:color="auto" w:fill="auto"/>
            <w:noWrap/>
            <w:vAlign w:val="bottom"/>
            <w:hideMark/>
          </w:tcPr>
          <w:p w14:paraId="58AB401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459</w:t>
            </w:r>
          </w:p>
        </w:tc>
        <w:tc>
          <w:tcPr>
            <w:tcW w:w="756" w:type="dxa"/>
            <w:tcBorders>
              <w:top w:val="nil"/>
              <w:left w:val="nil"/>
              <w:bottom w:val="nil"/>
              <w:right w:val="nil"/>
            </w:tcBorders>
            <w:shd w:val="clear" w:color="auto" w:fill="auto"/>
            <w:noWrap/>
            <w:vAlign w:val="bottom"/>
            <w:hideMark/>
          </w:tcPr>
          <w:p w14:paraId="3CC76DCE"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249%</w:t>
            </w:r>
          </w:p>
        </w:tc>
        <w:tc>
          <w:tcPr>
            <w:tcW w:w="666" w:type="dxa"/>
            <w:tcBorders>
              <w:top w:val="nil"/>
              <w:left w:val="nil"/>
              <w:bottom w:val="nil"/>
              <w:right w:val="nil"/>
            </w:tcBorders>
            <w:shd w:val="clear" w:color="auto" w:fill="auto"/>
            <w:noWrap/>
            <w:vAlign w:val="bottom"/>
            <w:hideMark/>
          </w:tcPr>
          <w:p w14:paraId="49CC466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-55%</w:t>
            </w:r>
          </w:p>
        </w:tc>
        <w:tc>
          <w:tcPr>
            <w:tcW w:w="702" w:type="dxa"/>
            <w:tcBorders>
              <w:top w:val="nil"/>
              <w:left w:val="single" w:sz="4" w:space="0" w:color="auto"/>
              <w:bottom w:val="nil"/>
              <w:right w:val="nil"/>
            </w:tcBorders>
            <w:shd w:val="clear" w:color="auto" w:fill="auto"/>
            <w:noWrap/>
            <w:vAlign w:val="bottom"/>
            <w:hideMark/>
          </w:tcPr>
          <w:p w14:paraId="3CB6FEE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58</w:t>
            </w:r>
          </w:p>
        </w:tc>
        <w:tc>
          <w:tcPr>
            <w:tcW w:w="666" w:type="dxa"/>
            <w:tcBorders>
              <w:top w:val="nil"/>
              <w:left w:val="nil"/>
              <w:bottom w:val="nil"/>
              <w:right w:val="nil"/>
            </w:tcBorders>
            <w:shd w:val="clear" w:color="auto" w:fill="auto"/>
            <w:noWrap/>
            <w:vAlign w:val="bottom"/>
            <w:hideMark/>
          </w:tcPr>
          <w:p w14:paraId="535E5B1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35%</w:t>
            </w:r>
          </w:p>
        </w:tc>
        <w:tc>
          <w:tcPr>
            <w:tcW w:w="666" w:type="dxa"/>
            <w:tcBorders>
              <w:top w:val="nil"/>
              <w:left w:val="nil"/>
              <w:bottom w:val="nil"/>
              <w:right w:val="nil"/>
            </w:tcBorders>
            <w:shd w:val="clear" w:color="auto" w:fill="auto"/>
            <w:noWrap/>
            <w:vAlign w:val="bottom"/>
            <w:hideMark/>
          </w:tcPr>
          <w:p w14:paraId="65D9FD9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-54%</w:t>
            </w:r>
          </w:p>
        </w:tc>
        <w:tc>
          <w:tcPr>
            <w:tcW w:w="794" w:type="dxa"/>
            <w:tcBorders>
              <w:top w:val="nil"/>
              <w:left w:val="single" w:sz="4" w:space="0" w:color="auto"/>
              <w:bottom w:val="nil"/>
              <w:right w:val="nil"/>
            </w:tcBorders>
            <w:shd w:val="clear" w:color="auto" w:fill="auto"/>
            <w:noWrap/>
            <w:vAlign w:val="bottom"/>
            <w:hideMark/>
          </w:tcPr>
          <w:p w14:paraId="76E1669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1,491</w:t>
            </w:r>
          </w:p>
        </w:tc>
        <w:tc>
          <w:tcPr>
            <w:tcW w:w="709" w:type="dxa"/>
            <w:tcBorders>
              <w:top w:val="nil"/>
              <w:left w:val="nil"/>
              <w:bottom w:val="nil"/>
              <w:right w:val="nil"/>
            </w:tcBorders>
            <w:shd w:val="clear" w:color="auto" w:fill="auto"/>
            <w:noWrap/>
            <w:vAlign w:val="bottom"/>
            <w:hideMark/>
          </w:tcPr>
          <w:p w14:paraId="40296A33"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-46%</w:t>
            </w:r>
          </w:p>
        </w:tc>
      </w:tr>
      <w:tr w:rsidR="0064654E" w:rsidRPr="0064654E" w14:paraId="3E482D75" w14:textId="77777777" w:rsidTr="0064654E">
        <w:trPr>
          <w:trHeight w:val="20"/>
        </w:trPr>
        <w:tc>
          <w:tcPr>
            <w:tcW w:w="1418" w:type="dxa"/>
            <w:tcBorders>
              <w:top w:val="nil"/>
              <w:left w:val="nil"/>
              <w:bottom w:val="nil"/>
              <w:right w:val="nil"/>
            </w:tcBorders>
            <w:shd w:val="clear" w:color="auto" w:fill="auto"/>
            <w:noWrap/>
            <w:vAlign w:val="bottom"/>
            <w:hideMark/>
          </w:tcPr>
          <w:p w14:paraId="0537F123"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金华</w:t>
            </w:r>
          </w:p>
        </w:tc>
        <w:tc>
          <w:tcPr>
            <w:tcW w:w="993" w:type="dxa"/>
            <w:tcBorders>
              <w:top w:val="nil"/>
              <w:left w:val="single" w:sz="4" w:space="0" w:color="auto"/>
              <w:bottom w:val="nil"/>
              <w:right w:val="nil"/>
            </w:tcBorders>
            <w:shd w:val="clear" w:color="auto" w:fill="auto"/>
            <w:noWrap/>
            <w:vAlign w:val="bottom"/>
            <w:hideMark/>
          </w:tcPr>
          <w:p w14:paraId="4E2A748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33,893</w:t>
            </w:r>
          </w:p>
        </w:tc>
        <w:tc>
          <w:tcPr>
            <w:tcW w:w="708" w:type="dxa"/>
            <w:tcBorders>
              <w:top w:val="nil"/>
              <w:left w:val="nil"/>
              <w:bottom w:val="nil"/>
              <w:right w:val="nil"/>
            </w:tcBorders>
            <w:shd w:val="clear" w:color="auto" w:fill="auto"/>
            <w:noWrap/>
            <w:vAlign w:val="bottom"/>
            <w:hideMark/>
          </w:tcPr>
          <w:p w14:paraId="4DC61ED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w:t>
            </w:r>
          </w:p>
        </w:tc>
        <w:tc>
          <w:tcPr>
            <w:tcW w:w="851" w:type="dxa"/>
            <w:tcBorders>
              <w:top w:val="nil"/>
              <w:left w:val="nil"/>
              <w:bottom w:val="nil"/>
              <w:right w:val="nil"/>
            </w:tcBorders>
            <w:shd w:val="clear" w:color="auto" w:fill="auto"/>
            <w:noWrap/>
            <w:vAlign w:val="bottom"/>
            <w:hideMark/>
          </w:tcPr>
          <w:p w14:paraId="4499DAD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-46%</w:t>
            </w:r>
          </w:p>
        </w:tc>
        <w:tc>
          <w:tcPr>
            <w:tcW w:w="711" w:type="dxa"/>
            <w:tcBorders>
              <w:top w:val="nil"/>
              <w:left w:val="single" w:sz="4" w:space="0" w:color="auto"/>
              <w:bottom w:val="nil"/>
              <w:right w:val="nil"/>
            </w:tcBorders>
            <w:shd w:val="clear" w:color="auto" w:fill="auto"/>
            <w:noWrap/>
            <w:vAlign w:val="bottom"/>
            <w:hideMark/>
          </w:tcPr>
          <w:p w14:paraId="5D6E82C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122</w:t>
            </w:r>
          </w:p>
        </w:tc>
        <w:tc>
          <w:tcPr>
            <w:tcW w:w="756" w:type="dxa"/>
            <w:tcBorders>
              <w:top w:val="nil"/>
              <w:left w:val="nil"/>
              <w:bottom w:val="nil"/>
              <w:right w:val="nil"/>
            </w:tcBorders>
            <w:shd w:val="clear" w:color="auto" w:fill="auto"/>
            <w:noWrap/>
            <w:vAlign w:val="bottom"/>
            <w:hideMark/>
          </w:tcPr>
          <w:p w14:paraId="739B664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324%</w:t>
            </w:r>
          </w:p>
        </w:tc>
        <w:tc>
          <w:tcPr>
            <w:tcW w:w="666" w:type="dxa"/>
            <w:tcBorders>
              <w:top w:val="nil"/>
              <w:left w:val="nil"/>
              <w:bottom w:val="nil"/>
              <w:right w:val="nil"/>
            </w:tcBorders>
            <w:shd w:val="clear" w:color="auto" w:fill="auto"/>
            <w:noWrap/>
            <w:vAlign w:val="bottom"/>
            <w:hideMark/>
          </w:tcPr>
          <w:p w14:paraId="2BB094A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-49%</w:t>
            </w:r>
          </w:p>
        </w:tc>
        <w:tc>
          <w:tcPr>
            <w:tcW w:w="702" w:type="dxa"/>
            <w:tcBorders>
              <w:top w:val="nil"/>
              <w:left w:val="single" w:sz="4" w:space="0" w:color="auto"/>
              <w:bottom w:val="nil"/>
              <w:right w:val="nil"/>
            </w:tcBorders>
            <w:shd w:val="clear" w:color="auto" w:fill="auto"/>
            <w:noWrap/>
            <w:vAlign w:val="bottom"/>
            <w:hideMark/>
          </w:tcPr>
          <w:p w14:paraId="3043AE1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w:t>
            </w:r>
          </w:p>
        </w:tc>
        <w:tc>
          <w:tcPr>
            <w:tcW w:w="666" w:type="dxa"/>
            <w:tcBorders>
              <w:top w:val="nil"/>
              <w:left w:val="nil"/>
              <w:bottom w:val="nil"/>
              <w:right w:val="nil"/>
            </w:tcBorders>
            <w:shd w:val="clear" w:color="auto" w:fill="auto"/>
            <w:noWrap/>
            <w:vAlign w:val="bottom"/>
            <w:hideMark/>
          </w:tcPr>
          <w:p w14:paraId="2F7AD05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11%</w:t>
            </w:r>
          </w:p>
        </w:tc>
        <w:tc>
          <w:tcPr>
            <w:tcW w:w="666" w:type="dxa"/>
            <w:tcBorders>
              <w:top w:val="nil"/>
              <w:left w:val="nil"/>
              <w:bottom w:val="nil"/>
              <w:right w:val="nil"/>
            </w:tcBorders>
            <w:shd w:val="clear" w:color="auto" w:fill="auto"/>
            <w:noWrap/>
            <w:vAlign w:val="bottom"/>
            <w:hideMark/>
          </w:tcPr>
          <w:p w14:paraId="1597A2F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-72%</w:t>
            </w:r>
          </w:p>
        </w:tc>
        <w:tc>
          <w:tcPr>
            <w:tcW w:w="794" w:type="dxa"/>
            <w:tcBorders>
              <w:top w:val="nil"/>
              <w:left w:val="single" w:sz="4" w:space="0" w:color="auto"/>
              <w:bottom w:val="nil"/>
              <w:right w:val="nil"/>
            </w:tcBorders>
            <w:shd w:val="clear" w:color="auto" w:fill="auto"/>
            <w:noWrap/>
            <w:vAlign w:val="bottom"/>
            <w:hideMark/>
          </w:tcPr>
          <w:p w14:paraId="75531C1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243</w:t>
            </w:r>
          </w:p>
        </w:tc>
        <w:tc>
          <w:tcPr>
            <w:tcW w:w="709" w:type="dxa"/>
            <w:tcBorders>
              <w:top w:val="nil"/>
              <w:left w:val="nil"/>
              <w:bottom w:val="nil"/>
              <w:right w:val="nil"/>
            </w:tcBorders>
            <w:shd w:val="clear" w:color="auto" w:fill="auto"/>
            <w:noWrap/>
            <w:vAlign w:val="bottom"/>
            <w:hideMark/>
          </w:tcPr>
          <w:p w14:paraId="10699A1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-34%</w:t>
            </w:r>
          </w:p>
        </w:tc>
      </w:tr>
      <w:tr w:rsidR="0064654E" w:rsidRPr="0064654E" w14:paraId="20AD180A" w14:textId="77777777" w:rsidTr="0064654E">
        <w:trPr>
          <w:trHeight w:val="20"/>
        </w:trPr>
        <w:tc>
          <w:tcPr>
            <w:tcW w:w="1418" w:type="dxa"/>
            <w:tcBorders>
              <w:top w:val="nil"/>
              <w:left w:val="nil"/>
              <w:bottom w:val="nil"/>
              <w:right w:val="nil"/>
            </w:tcBorders>
            <w:shd w:val="clear" w:color="auto" w:fill="auto"/>
            <w:noWrap/>
            <w:vAlign w:val="bottom"/>
            <w:hideMark/>
          </w:tcPr>
          <w:p w14:paraId="7204AC94"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常州</w:t>
            </w:r>
          </w:p>
        </w:tc>
        <w:tc>
          <w:tcPr>
            <w:tcW w:w="993" w:type="dxa"/>
            <w:tcBorders>
              <w:top w:val="nil"/>
              <w:left w:val="single" w:sz="4" w:space="0" w:color="auto"/>
              <w:bottom w:val="nil"/>
              <w:right w:val="nil"/>
            </w:tcBorders>
            <w:shd w:val="clear" w:color="auto" w:fill="auto"/>
            <w:noWrap/>
            <w:vAlign w:val="bottom"/>
            <w:hideMark/>
          </w:tcPr>
          <w:p w14:paraId="385DAA1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61,522</w:t>
            </w:r>
          </w:p>
        </w:tc>
        <w:tc>
          <w:tcPr>
            <w:tcW w:w="708" w:type="dxa"/>
            <w:tcBorders>
              <w:top w:val="nil"/>
              <w:left w:val="nil"/>
              <w:bottom w:val="nil"/>
              <w:right w:val="nil"/>
            </w:tcBorders>
            <w:shd w:val="clear" w:color="auto" w:fill="auto"/>
            <w:noWrap/>
            <w:vAlign w:val="bottom"/>
            <w:hideMark/>
          </w:tcPr>
          <w:p w14:paraId="7C542094"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47%</w:t>
            </w:r>
          </w:p>
        </w:tc>
        <w:tc>
          <w:tcPr>
            <w:tcW w:w="851" w:type="dxa"/>
            <w:tcBorders>
              <w:top w:val="nil"/>
              <w:left w:val="nil"/>
              <w:bottom w:val="nil"/>
              <w:right w:val="nil"/>
            </w:tcBorders>
            <w:shd w:val="clear" w:color="auto" w:fill="auto"/>
            <w:noWrap/>
            <w:vAlign w:val="bottom"/>
            <w:hideMark/>
          </w:tcPr>
          <w:p w14:paraId="4272CC3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-39%</w:t>
            </w:r>
          </w:p>
        </w:tc>
        <w:tc>
          <w:tcPr>
            <w:tcW w:w="711" w:type="dxa"/>
            <w:tcBorders>
              <w:top w:val="nil"/>
              <w:left w:val="single" w:sz="4" w:space="0" w:color="auto"/>
              <w:bottom w:val="nil"/>
              <w:right w:val="nil"/>
            </w:tcBorders>
            <w:shd w:val="clear" w:color="auto" w:fill="auto"/>
            <w:noWrap/>
            <w:vAlign w:val="bottom"/>
            <w:hideMark/>
          </w:tcPr>
          <w:p w14:paraId="491257B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270</w:t>
            </w:r>
          </w:p>
        </w:tc>
        <w:tc>
          <w:tcPr>
            <w:tcW w:w="756" w:type="dxa"/>
            <w:tcBorders>
              <w:top w:val="nil"/>
              <w:left w:val="nil"/>
              <w:bottom w:val="nil"/>
              <w:right w:val="nil"/>
            </w:tcBorders>
            <w:shd w:val="clear" w:color="auto" w:fill="auto"/>
            <w:noWrap/>
            <w:vAlign w:val="bottom"/>
            <w:hideMark/>
          </w:tcPr>
          <w:p w14:paraId="5FBCD91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253%</w:t>
            </w:r>
          </w:p>
        </w:tc>
        <w:tc>
          <w:tcPr>
            <w:tcW w:w="666" w:type="dxa"/>
            <w:tcBorders>
              <w:top w:val="nil"/>
              <w:left w:val="nil"/>
              <w:bottom w:val="nil"/>
              <w:right w:val="nil"/>
            </w:tcBorders>
            <w:shd w:val="clear" w:color="auto" w:fill="auto"/>
            <w:noWrap/>
            <w:vAlign w:val="bottom"/>
            <w:hideMark/>
          </w:tcPr>
          <w:p w14:paraId="6AE1CCC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-33%</w:t>
            </w:r>
          </w:p>
        </w:tc>
        <w:tc>
          <w:tcPr>
            <w:tcW w:w="702" w:type="dxa"/>
            <w:tcBorders>
              <w:top w:val="nil"/>
              <w:left w:val="single" w:sz="4" w:space="0" w:color="auto"/>
              <w:bottom w:val="nil"/>
              <w:right w:val="nil"/>
            </w:tcBorders>
            <w:shd w:val="clear" w:color="auto" w:fill="auto"/>
            <w:noWrap/>
            <w:vAlign w:val="bottom"/>
            <w:hideMark/>
          </w:tcPr>
          <w:p w14:paraId="7379E4A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25</w:t>
            </w:r>
          </w:p>
        </w:tc>
        <w:tc>
          <w:tcPr>
            <w:tcW w:w="666" w:type="dxa"/>
            <w:tcBorders>
              <w:top w:val="nil"/>
              <w:left w:val="nil"/>
              <w:bottom w:val="nil"/>
              <w:right w:val="nil"/>
            </w:tcBorders>
            <w:shd w:val="clear" w:color="auto" w:fill="auto"/>
            <w:noWrap/>
            <w:vAlign w:val="bottom"/>
            <w:hideMark/>
          </w:tcPr>
          <w:p w14:paraId="2646C0C1"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-19%</w:t>
            </w:r>
          </w:p>
        </w:tc>
        <w:tc>
          <w:tcPr>
            <w:tcW w:w="666" w:type="dxa"/>
            <w:tcBorders>
              <w:top w:val="nil"/>
              <w:left w:val="nil"/>
              <w:bottom w:val="nil"/>
              <w:right w:val="nil"/>
            </w:tcBorders>
            <w:shd w:val="clear" w:color="auto" w:fill="auto"/>
            <w:noWrap/>
            <w:vAlign w:val="bottom"/>
            <w:hideMark/>
          </w:tcPr>
          <w:p w14:paraId="035D61FE"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-49%</w:t>
            </w:r>
          </w:p>
        </w:tc>
        <w:tc>
          <w:tcPr>
            <w:tcW w:w="794" w:type="dxa"/>
            <w:tcBorders>
              <w:top w:val="nil"/>
              <w:left w:val="single" w:sz="4" w:space="0" w:color="auto"/>
              <w:bottom w:val="nil"/>
              <w:right w:val="nil"/>
            </w:tcBorders>
            <w:shd w:val="clear" w:color="auto" w:fill="auto"/>
            <w:noWrap/>
            <w:vAlign w:val="bottom"/>
            <w:hideMark/>
          </w:tcPr>
          <w:p w14:paraId="3084F16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602</w:t>
            </w:r>
          </w:p>
        </w:tc>
        <w:tc>
          <w:tcPr>
            <w:tcW w:w="709" w:type="dxa"/>
            <w:tcBorders>
              <w:top w:val="nil"/>
              <w:left w:val="nil"/>
              <w:bottom w:val="nil"/>
              <w:right w:val="nil"/>
            </w:tcBorders>
            <w:shd w:val="clear" w:color="auto" w:fill="auto"/>
            <w:noWrap/>
            <w:vAlign w:val="bottom"/>
            <w:hideMark/>
          </w:tcPr>
          <w:p w14:paraId="772D51EE"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-30%</w:t>
            </w:r>
          </w:p>
        </w:tc>
      </w:tr>
      <w:tr w:rsidR="0064654E" w:rsidRPr="0064654E" w14:paraId="100B1200" w14:textId="77777777" w:rsidTr="0064654E">
        <w:trPr>
          <w:trHeight w:val="20"/>
        </w:trPr>
        <w:tc>
          <w:tcPr>
            <w:tcW w:w="1418" w:type="dxa"/>
            <w:tcBorders>
              <w:top w:val="nil"/>
              <w:left w:val="nil"/>
              <w:bottom w:val="nil"/>
              <w:right w:val="nil"/>
            </w:tcBorders>
            <w:shd w:val="clear" w:color="auto" w:fill="auto"/>
            <w:noWrap/>
            <w:vAlign w:val="bottom"/>
            <w:hideMark/>
          </w:tcPr>
          <w:p w14:paraId="2B8005C9"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淮安</w:t>
            </w:r>
          </w:p>
        </w:tc>
        <w:tc>
          <w:tcPr>
            <w:tcW w:w="993" w:type="dxa"/>
            <w:tcBorders>
              <w:top w:val="nil"/>
              <w:left w:val="single" w:sz="4" w:space="0" w:color="auto"/>
              <w:bottom w:val="nil"/>
              <w:right w:val="nil"/>
            </w:tcBorders>
            <w:shd w:val="clear" w:color="auto" w:fill="auto"/>
            <w:noWrap/>
            <w:vAlign w:val="bottom"/>
            <w:hideMark/>
          </w:tcPr>
          <w:p w14:paraId="696AB4C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86,933</w:t>
            </w:r>
          </w:p>
        </w:tc>
        <w:tc>
          <w:tcPr>
            <w:tcW w:w="708" w:type="dxa"/>
            <w:tcBorders>
              <w:top w:val="nil"/>
              <w:left w:val="nil"/>
              <w:bottom w:val="nil"/>
              <w:right w:val="nil"/>
            </w:tcBorders>
            <w:shd w:val="clear" w:color="auto" w:fill="auto"/>
            <w:noWrap/>
            <w:vAlign w:val="bottom"/>
            <w:hideMark/>
          </w:tcPr>
          <w:p w14:paraId="3DA712E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w:t>
            </w:r>
          </w:p>
        </w:tc>
        <w:tc>
          <w:tcPr>
            <w:tcW w:w="851" w:type="dxa"/>
            <w:tcBorders>
              <w:top w:val="nil"/>
              <w:left w:val="nil"/>
              <w:bottom w:val="nil"/>
              <w:right w:val="nil"/>
            </w:tcBorders>
            <w:shd w:val="clear" w:color="auto" w:fill="auto"/>
            <w:noWrap/>
            <w:vAlign w:val="bottom"/>
            <w:hideMark/>
          </w:tcPr>
          <w:p w14:paraId="4D8E3B5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56%</w:t>
            </w:r>
          </w:p>
        </w:tc>
        <w:tc>
          <w:tcPr>
            <w:tcW w:w="711" w:type="dxa"/>
            <w:tcBorders>
              <w:top w:val="nil"/>
              <w:left w:val="single" w:sz="4" w:space="0" w:color="auto"/>
              <w:bottom w:val="nil"/>
              <w:right w:val="nil"/>
            </w:tcBorders>
            <w:shd w:val="clear" w:color="auto" w:fill="auto"/>
            <w:noWrap/>
            <w:vAlign w:val="bottom"/>
            <w:hideMark/>
          </w:tcPr>
          <w:p w14:paraId="648703E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321</w:t>
            </w:r>
          </w:p>
        </w:tc>
        <w:tc>
          <w:tcPr>
            <w:tcW w:w="756" w:type="dxa"/>
            <w:tcBorders>
              <w:top w:val="nil"/>
              <w:left w:val="nil"/>
              <w:bottom w:val="nil"/>
              <w:right w:val="nil"/>
            </w:tcBorders>
            <w:shd w:val="clear" w:color="auto" w:fill="auto"/>
            <w:noWrap/>
            <w:vAlign w:val="bottom"/>
            <w:hideMark/>
          </w:tcPr>
          <w:p w14:paraId="2AAE389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160%</w:t>
            </w:r>
          </w:p>
        </w:tc>
        <w:tc>
          <w:tcPr>
            <w:tcW w:w="666" w:type="dxa"/>
            <w:tcBorders>
              <w:top w:val="nil"/>
              <w:left w:val="nil"/>
              <w:bottom w:val="nil"/>
              <w:right w:val="nil"/>
            </w:tcBorders>
            <w:shd w:val="clear" w:color="auto" w:fill="auto"/>
            <w:noWrap/>
            <w:vAlign w:val="bottom"/>
            <w:hideMark/>
          </w:tcPr>
          <w:p w14:paraId="78BEF4F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w:t>
            </w:r>
          </w:p>
        </w:tc>
        <w:tc>
          <w:tcPr>
            <w:tcW w:w="702" w:type="dxa"/>
            <w:tcBorders>
              <w:top w:val="nil"/>
              <w:left w:val="single" w:sz="4" w:space="0" w:color="auto"/>
              <w:bottom w:val="nil"/>
              <w:right w:val="nil"/>
            </w:tcBorders>
            <w:shd w:val="clear" w:color="auto" w:fill="auto"/>
            <w:noWrap/>
            <w:vAlign w:val="bottom"/>
            <w:hideMark/>
          </w:tcPr>
          <w:p w14:paraId="50C8935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50</w:t>
            </w:r>
          </w:p>
        </w:tc>
        <w:tc>
          <w:tcPr>
            <w:tcW w:w="666" w:type="dxa"/>
            <w:tcBorders>
              <w:top w:val="nil"/>
              <w:left w:val="nil"/>
              <w:bottom w:val="nil"/>
              <w:right w:val="nil"/>
            </w:tcBorders>
            <w:shd w:val="clear" w:color="auto" w:fill="auto"/>
            <w:noWrap/>
            <w:vAlign w:val="bottom"/>
            <w:hideMark/>
          </w:tcPr>
          <w:p w14:paraId="39C8D11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56%</w:t>
            </w:r>
          </w:p>
        </w:tc>
        <w:tc>
          <w:tcPr>
            <w:tcW w:w="666" w:type="dxa"/>
            <w:tcBorders>
              <w:top w:val="nil"/>
              <w:left w:val="nil"/>
              <w:bottom w:val="nil"/>
              <w:right w:val="nil"/>
            </w:tcBorders>
            <w:shd w:val="clear" w:color="auto" w:fill="auto"/>
            <w:noWrap/>
            <w:vAlign w:val="bottom"/>
            <w:hideMark/>
          </w:tcPr>
          <w:p w14:paraId="68091A9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66%</w:t>
            </w:r>
          </w:p>
        </w:tc>
        <w:tc>
          <w:tcPr>
            <w:tcW w:w="794" w:type="dxa"/>
            <w:tcBorders>
              <w:top w:val="nil"/>
              <w:left w:val="single" w:sz="4" w:space="0" w:color="auto"/>
              <w:bottom w:val="nil"/>
              <w:right w:val="nil"/>
            </w:tcBorders>
            <w:shd w:val="clear" w:color="auto" w:fill="auto"/>
            <w:noWrap/>
            <w:vAlign w:val="bottom"/>
            <w:hideMark/>
          </w:tcPr>
          <w:p w14:paraId="404E138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822</w:t>
            </w:r>
          </w:p>
        </w:tc>
        <w:tc>
          <w:tcPr>
            <w:tcW w:w="709" w:type="dxa"/>
            <w:tcBorders>
              <w:top w:val="nil"/>
              <w:left w:val="nil"/>
              <w:bottom w:val="nil"/>
              <w:right w:val="nil"/>
            </w:tcBorders>
            <w:shd w:val="clear" w:color="auto" w:fill="auto"/>
            <w:noWrap/>
            <w:vAlign w:val="bottom"/>
            <w:hideMark/>
          </w:tcPr>
          <w:p w14:paraId="0E4F3759"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-34%</w:t>
            </w:r>
          </w:p>
        </w:tc>
      </w:tr>
      <w:tr w:rsidR="0064654E" w:rsidRPr="0064654E" w14:paraId="250BB249" w14:textId="77777777" w:rsidTr="0064654E">
        <w:trPr>
          <w:trHeight w:val="20"/>
        </w:trPr>
        <w:tc>
          <w:tcPr>
            <w:tcW w:w="1418" w:type="dxa"/>
            <w:tcBorders>
              <w:top w:val="nil"/>
              <w:left w:val="nil"/>
              <w:bottom w:val="nil"/>
              <w:right w:val="nil"/>
            </w:tcBorders>
            <w:shd w:val="clear" w:color="auto" w:fill="auto"/>
            <w:noWrap/>
            <w:vAlign w:val="bottom"/>
            <w:hideMark/>
          </w:tcPr>
          <w:p w14:paraId="13BE341D"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连云港</w:t>
            </w:r>
          </w:p>
        </w:tc>
        <w:tc>
          <w:tcPr>
            <w:tcW w:w="993" w:type="dxa"/>
            <w:tcBorders>
              <w:top w:val="nil"/>
              <w:left w:val="single" w:sz="4" w:space="0" w:color="auto"/>
              <w:bottom w:val="nil"/>
              <w:right w:val="nil"/>
            </w:tcBorders>
            <w:shd w:val="clear" w:color="auto" w:fill="auto"/>
            <w:noWrap/>
            <w:vAlign w:val="bottom"/>
            <w:hideMark/>
          </w:tcPr>
          <w:p w14:paraId="02E1F32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108,812</w:t>
            </w:r>
          </w:p>
        </w:tc>
        <w:tc>
          <w:tcPr>
            <w:tcW w:w="708" w:type="dxa"/>
            <w:tcBorders>
              <w:top w:val="nil"/>
              <w:left w:val="nil"/>
              <w:bottom w:val="nil"/>
              <w:right w:val="nil"/>
            </w:tcBorders>
            <w:shd w:val="clear" w:color="auto" w:fill="auto"/>
            <w:noWrap/>
            <w:vAlign w:val="bottom"/>
            <w:hideMark/>
          </w:tcPr>
          <w:p w14:paraId="313A2F5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w:t>
            </w:r>
          </w:p>
        </w:tc>
        <w:tc>
          <w:tcPr>
            <w:tcW w:w="851" w:type="dxa"/>
            <w:tcBorders>
              <w:top w:val="nil"/>
              <w:left w:val="nil"/>
              <w:bottom w:val="nil"/>
              <w:right w:val="nil"/>
            </w:tcBorders>
            <w:shd w:val="clear" w:color="auto" w:fill="auto"/>
            <w:noWrap/>
            <w:vAlign w:val="bottom"/>
            <w:hideMark/>
          </w:tcPr>
          <w:p w14:paraId="203695A4"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w:t>
            </w:r>
          </w:p>
        </w:tc>
        <w:tc>
          <w:tcPr>
            <w:tcW w:w="711" w:type="dxa"/>
            <w:tcBorders>
              <w:top w:val="nil"/>
              <w:left w:val="single" w:sz="4" w:space="0" w:color="auto"/>
              <w:bottom w:val="nil"/>
              <w:right w:val="nil"/>
            </w:tcBorders>
            <w:shd w:val="clear" w:color="auto" w:fill="auto"/>
            <w:noWrap/>
            <w:vAlign w:val="bottom"/>
            <w:hideMark/>
          </w:tcPr>
          <w:p w14:paraId="6917832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449</w:t>
            </w:r>
          </w:p>
        </w:tc>
        <w:tc>
          <w:tcPr>
            <w:tcW w:w="756" w:type="dxa"/>
            <w:tcBorders>
              <w:top w:val="nil"/>
              <w:left w:val="nil"/>
              <w:bottom w:val="nil"/>
              <w:right w:val="nil"/>
            </w:tcBorders>
            <w:shd w:val="clear" w:color="auto" w:fill="auto"/>
            <w:noWrap/>
            <w:vAlign w:val="bottom"/>
            <w:hideMark/>
          </w:tcPr>
          <w:p w14:paraId="461043F1"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238%</w:t>
            </w:r>
          </w:p>
        </w:tc>
        <w:tc>
          <w:tcPr>
            <w:tcW w:w="666" w:type="dxa"/>
            <w:tcBorders>
              <w:top w:val="nil"/>
              <w:left w:val="nil"/>
              <w:bottom w:val="nil"/>
              <w:right w:val="nil"/>
            </w:tcBorders>
            <w:shd w:val="clear" w:color="auto" w:fill="auto"/>
            <w:noWrap/>
            <w:vAlign w:val="bottom"/>
            <w:hideMark/>
          </w:tcPr>
          <w:p w14:paraId="790B5248"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w:t>
            </w:r>
          </w:p>
        </w:tc>
        <w:tc>
          <w:tcPr>
            <w:tcW w:w="702" w:type="dxa"/>
            <w:tcBorders>
              <w:top w:val="nil"/>
              <w:left w:val="single" w:sz="4" w:space="0" w:color="auto"/>
              <w:bottom w:val="nil"/>
              <w:right w:val="nil"/>
            </w:tcBorders>
            <w:shd w:val="clear" w:color="auto" w:fill="auto"/>
            <w:noWrap/>
            <w:vAlign w:val="bottom"/>
            <w:hideMark/>
          </w:tcPr>
          <w:p w14:paraId="42609D4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45</w:t>
            </w:r>
          </w:p>
        </w:tc>
        <w:tc>
          <w:tcPr>
            <w:tcW w:w="666" w:type="dxa"/>
            <w:tcBorders>
              <w:top w:val="nil"/>
              <w:left w:val="nil"/>
              <w:bottom w:val="nil"/>
              <w:right w:val="nil"/>
            </w:tcBorders>
            <w:shd w:val="clear" w:color="auto" w:fill="auto"/>
            <w:noWrap/>
            <w:vAlign w:val="bottom"/>
            <w:hideMark/>
          </w:tcPr>
          <w:p w14:paraId="0F7E6FD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0%</w:t>
            </w:r>
          </w:p>
        </w:tc>
        <w:tc>
          <w:tcPr>
            <w:tcW w:w="666" w:type="dxa"/>
            <w:tcBorders>
              <w:top w:val="nil"/>
              <w:left w:val="nil"/>
              <w:bottom w:val="nil"/>
              <w:right w:val="nil"/>
            </w:tcBorders>
            <w:shd w:val="clear" w:color="auto" w:fill="auto"/>
            <w:noWrap/>
            <w:vAlign w:val="bottom"/>
            <w:hideMark/>
          </w:tcPr>
          <w:p w14:paraId="0095EDD8"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-17%</w:t>
            </w:r>
          </w:p>
        </w:tc>
        <w:tc>
          <w:tcPr>
            <w:tcW w:w="794" w:type="dxa"/>
            <w:tcBorders>
              <w:top w:val="nil"/>
              <w:left w:val="single" w:sz="4" w:space="0" w:color="auto"/>
              <w:bottom w:val="nil"/>
              <w:right w:val="nil"/>
            </w:tcBorders>
            <w:shd w:val="clear" w:color="auto" w:fill="auto"/>
            <w:noWrap/>
            <w:vAlign w:val="bottom"/>
            <w:hideMark/>
          </w:tcPr>
          <w:p w14:paraId="12D21D5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1,006</w:t>
            </w:r>
          </w:p>
        </w:tc>
        <w:tc>
          <w:tcPr>
            <w:tcW w:w="709" w:type="dxa"/>
            <w:tcBorders>
              <w:top w:val="nil"/>
              <w:left w:val="nil"/>
              <w:bottom w:val="nil"/>
              <w:right w:val="nil"/>
            </w:tcBorders>
            <w:shd w:val="clear" w:color="auto" w:fill="auto"/>
            <w:noWrap/>
            <w:vAlign w:val="bottom"/>
            <w:hideMark/>
          </w:tcPr>
          <w:p w14:paraId="21BB2F2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-30%</w:t>
            </w:r>
          </w:p>
        </w:tc>
      </w:tr>
      <w:tr w:rsidR="0064654E" w:rsidRPr="0064654E" w14:paraId="2282DD1F" w14:textId="77777777" w:rsidTr="0064654E">
        <w:trPr>
          <w:trHeight w:val="20"/>
        </w:trPr>
        <w:tc>
          <w:tcPr>
            <w:tcW w:w="1418" w:type="dxa"/>
            <w:tcBorders>
              <w:top w:val="nil"/>
              <w:left w:val="nil"/>
              <w:bottom w:val="nil"/>
              <w:right w:val="nil"/>
            </w:tcBorders>
            <w:shd w:val="clear" w:color="auto" w:fill="auto"/>
            <w:noWrap/>
            <w:vAlign w:val="bottom"/>
            <w:hideMark/>
          </w:tcPr>
          <w:p w14:paraId="4CC35992"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绍兴</w:t>
            </w:r>
          </w:p>
        </w:tc>
        <w:tc>
          <w:tcPr>
            <w:tcW w:w="993" w:type="dxa"/>
            <w:tcBorders>
              <w:top w:val="nil"/>
              <w:left w:val="single" w:sz="4" w:space="0" w:color="auto"/>
              <w:bottom w:val="nil"/>
              <w:right w:val="nil"/>
            </w:tcBorders>
            <w:shd w:val="clear" w:color="auto" w:fill="auto"/>
            <w:noWrap/>
            <w:vAlign w:val="bottom"/>
            <w:hideMark/>
          </w:tcPr>
          <w:p w14:paraId="7D501D5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49,218</w:t>
            </w:r>
          </w:p>
        </w:tc>
        <w:tc>
          <w:tcPr>
            <w:tcW w:w="708" w:type="dxa"/>
            <w:tcBorders>
              <w:top w:val="nil"/>
              <w:left w:val="nil"/>
              <w:bottom w:val="nil"/>
              <w:right w:val="nil"/>
            </w:tcBorders>
            <w:shd w:val="clear" w:color="auto" w:fill="auto"/>
            <w:noWrap/>
            <w:vAlign w:val="bottom"/>
            <w:hideMark/>
          </w:tcPr>
          <w:p w14:paraId="0581F53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-21%</w:t>
            </w:r>
          </w:p>
        </w:tc>
        <w:tc>
          <w:tcPr>
            <w:tcW w:w="851" w:type="dxa"/>
            <w:tcBorders>
              <w:top w:val="nil"/>
              <w:left w:val="nil"/>
              <w:bottom w:val="nil"/>
              <w:right w:val="nil"/>
            </w:tcBorders>
            <w:shd w:val="clear" w:color="auto" w:fill="auto"/>
            <w:noWrap/>
            <w:vAlign w:val="bottom"/>
            <w:hideMark/>
          </w:tcPr>
          <w:p w14:paraId="65A9D0D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-22%</w:t>
            </w:r>
          </w:p>
        </w:tc>
        <w:tc>
          <w:tcPr>
            <w:tcW w:w="711" w:type="dxa"/>
            <w:tcBorders>
              <w:top w:val="nil"/>
              <w:left w:val="single" w:sz="4" w:space="0" w:color="auto"/>
              <w:bottom w:val="nil"/>
              <w:right w:val="nil"/>
            </w:tcBorders>
            <w:shd w:val="clear" w:color="auto" w:fill="auto"/>
            <w:noWrap/>
            <w:vAlign w:val="bottom"/>
            <w:hideMark/>
          </w:tcPr>
          <w:p w14:paraId="3EBDC45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196</w:t>
            </w:r>
          </w:p>
        </w:tc>
        <w:tc>
          <w:tcPr>
            <w:tcW w:w="756" w:type="dxa"/>
            <w:tcBorders>
              <w:top w:val="nil"/>
              <w:left w:val="nil"/>
              <w:bottom w:val="nil"/>
              <w:right w:val="nil"/>
            </w:tcBorders>
            <w:shd w:val="clear" w:color="auto" w:fill="auto"/>
            <w:noWrap/>
            <w:vAlign w:val="bottom"/>
            <w:hideMark/>
          </w:tcPr>
          <w:p w14:paraId="1121F73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212%</w:t>
            </w:r>
          </w:p>
        </w:tc>
        <w:tc>
          <w:tcPr>
            <w:tcW w:w="666" w:type="dxa"/>
            <w:tcBorders>
              <w:top w:val="nil"/>
              <w:left w:val="nil"/>
              <w:bottom w:val="nil"/>
              <w:right w:val="nil"/>
            </w:tcBorders>
            <w:shd w:val="clear" w:color="auto" w:fill="auto"/>
            <w:noWrap/>
            <w:vAlign w:val="bottom"/>
            <w:hideMark/>
          </w:tcPr>
          <w:p w14:paraId="5F1639B2"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-24%</w:t>
            </w:r>
          </w:p>
        </w:tc>
        <w:tc>
          <w:tcPr>
            <w:tcW w:w="702" w:type="dxa"/>
            <w:tcBorders>
              <w:top w:val="nil"/>
              <w:left w:val="single" w:sz="4" w:space="0" w:color="auto"/>
              <w:bottom w:val="nil"/>
              <w:right w:val="nil"/>
            </w:tcBorders>
            <w:shd w:val="clear" w:color="auto" w:fill="auto"/>
            <w:noWrap/>
            <w:vAlign w:val="bottom"/>
            <w:hideMark/>
          </w:tcPr>
          <w:p w14:paraId="72B0426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w:t>
            </w:r>
          </w:p>
        </w:tc>
        <w:tc>
          <w:tcPr>
            <w:tcW w:w="666" w:type="dxa"/>
            <w:tcBorders>
              <w:top w:val="nil"/>
              <w:left w:val="nil"/>
              <w:bottom w:val="nil"/>
              <w:right w:val="nil"/>
            </w:tcBorders>
            <w:shd w:val="clear" w:color="auto" w:fill="auto"/>
            <w:noWrap/>
            <w:vAlign w:val="bottom"/>
            <w:hideMark/>
          </w:tcPr>
          <w:p w14:paraId="6EF009A2"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0%</w:t>
            </w:r>
          </w:p>
        </w:tc>
        <w:tc>
          <w:tcPr>
            <w:tcW w:w="666" w:type="dxa"/>
            <w:tcBorders>
              <w:top w:val="nil"/>
              <w:left w:val="nil"/>
              <w:bottom w:val="nil"/>
              <w:right w:val="nil"/>
            </w:tcBorders>
            <w:shd w:val="clear" w:color="auto" w:fill="auto"/>
            <w:noWrap/>
            <w:vAlign w:val="bottom"/>
            <w:hideMark/>
          </w:tcPr>
          <w:p w14:paraId="09AE9041"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-55%</w:t>
            </w:r>
          </w:p>
        </w:tc>
        <w:tc>
          <w:tcPr>
            <w:tcW w:w="794" w:type="dxa"/>
            <w:tcBorders>
              <w:top w:val="nil"/>
              <w:left w:val="single" w:sz="4" w:space="0" w:color="auto"/>
              <w:bottom w:val="nil"/>
              <w:right w:val="nil"/>
            </w:tcBorders>
            <w:shd w:val="clear" w:color="auto" w:fill="auto"/>
            <w:noWrap/>
            <w:vAlign w:val="bottom"/>
            <w:hideMark/>
          </w:tcPr>
          <w:p w14:paraId="08E0BF9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375</w:t>
            </w:r>
          </w:p>
        </w:tc>
        <w:tc>
          <w:tcPr>
            <w:tcW w:w="709" w:type="dxa"/>
            <w:tcBorders>
              <w:top w:val="nil"/>
              <w:left w:val="nil"/>
              <w:bottom w:val="nil"/>
              <w:right w:val="nil"/>
            </w:tcBorders>
            <w:shd w:val="clear" w:color="auto" w:fill="auto"/>
            <w:noWrap/>
            <w:vAlign w:val="bottom"/>
            <w:hideMark/>
          </w:tcPr>
          <w:p w14:paraId="3122E39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-27%</w:t>
            </w:r>
          </w:p>
        </w:tc>
      </w:tr>
      <w:tr w:rsidR="0064654E" w:rsidRPr="0064654E" w14:paraId="6807B0AF" w14:textId="77777777" w:rsidTr="0064654E">
        <w:trPr>
          <w:trHeight w:val="20"/>
        </w:trPr>
        <w:tc>
          <w:tcPr>
            <w:tcW w:w="1418" w:type="dxa"/>
            <w:tcBorders>
              <w:top w:val="nil"/>
              <w:left w:val="nil"/>
              <w:bottom w:val="nil"/>
              <w:right w:val="nil"/>
            </w:tcBorders>
            <w:shd w:val="clear" w:color="auto" w:fill="auto"/>
            <w:noWrap/>
            <w:vAlign w:val="bottom"/>
            <w:hideMark/>
          </w:tcPr>
          <w:p w14:paraId="1169B4FF"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泰州</w:t>
            </w:r>
          </w:p>
        </w:tc>
        <w:tc>
          <w:tcPr>
            <w:tcW w:w="993" w:type="dxa"/>
            <w:tcBorders>
              <w:top w:val="nil"/>
              <w:left w:val="single" w:sz="4" w:space="0" w:color="auto"/>
              <w:bottom w:val="nil"/>
              <w:right w:val="nil"/>
            </w:tcBorders>
            <w:shd w:val="clear" w:color="auto" w:fill="auto"/>
            <w:noWrap/>
            <w:vAlign w:val="bottom"/>
            <w:hideMark/>
          </w:tcPr>
          <w:p w14:paraId="1F51601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24,299</w:t>
            </w:r>
          </w:p>
        </w:tc>
        <w:tc>
          <w:tcPr>
            <w:tcW w:w="708" w:type="dxa"/>
            <w:tcBorders>
              <w:top w:val="nil"/>
              <w:left w:val="nil"/>
              <w:bottom w:val="nil"/>
              <w:right w:val="nil"/>
            </w:tcBorders>
            <w:shd w:val="clear" w:color="auto" w:fill="auto"/>
            <w:noWrap/>
            <w:vAlign w:val="bottom"/>
            <w:hideMark/>
          </w:tcPr>
          <w:p w14:paraId="0FE0612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-7%</w:t>
            </w:r>
          </w:p>
        </w:tc>
        <w:tc>
          <w:tcPr>
            <w:tcW w:w="851" w:type="dxa"/>
            <w:tcBorders>
              <w:top w:val="nil"/>
              <w:left w:val="nil"/>
              <w:bottom w:val="nil"/>
              <w:right w:val="nil"/>
            </w:tcBorders>
            <w:shd w:val="clear" w:color="auto" w:fill="auto"/>
            <w:noWrap/>
            <w:vAlign w:val="bottom"/>
            <w:hideMark/>
          </w:tcPr>
          <w:p w14:paraId="2DFC906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w:t>
            </w:r>
          </w:p>
        </w:tc>
        <w:tc>
          <w:tcPr>
            <w:tcW w:w="711" w:type="dxa"/>
            <w:tcBorders>
              <w:top w:val="nil"/>
              <w:left w:val="single" w:sz="4" w:space="0" w:color="auto"/>
              <w:bottom w:val="nil"/>
              <w:right w:val="nil"/>
            </w:tcBorders>
            <w:shd w:val="clear" w:color="auto" w:fill="auto"/>
            <w:noWrap/>
            <w:vAlign w:val="bottom"/>
            <w:hideMark/>
          </w:tcPr>
          <w:p w14:paraId="4D3C9AD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103</w:t>
            </w:r>
          </w:p>
        </w:tc>
        <w:tc>
          <w:tcPr>
            <w:tcW w:w="756" w:type="dxa"/>
            <w:tcBorders>
              <w:top w:val="nil"/>
              <w:left w:val="nil"/>
              <w:bottom w:val="nil"/>
              <w:right w:val="nil"/>
            </w:tcBorders>
            <w:shd w:val="clear" w:color="auto" w:fill="auto"/>
            <w:noWrap/>
            <w:vAlign w:val="bottom"/>
            <w:hideMark/>
          </w:tcPr>
          <w:p w14:paraId="290CA7E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950%</w:t>
            </w:r>
          </w:p>
        </w:tc>
        <w:tc>
          <w:tcPr>
            <w:tcW w:w="666" w:type="dxa"/>
            <w:tcBorders>
              <w:top w:val="nil"/>
              <w:left w:val="nil"/>
              <w:bottom w:val="nil"/>
              <w:right w:val="nil"/>
            </w:tcBorders>
            <w:shd w:val="clear" w:color="auto" w:fill="auto"/>
            <w:noWrap/>
            <w:vAlign w:val="bottom"/>
            <w:hideMark/>
          </w:tcPr>
          <w:p w14:paraId="65934B6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28%</w:t>
            </w:r>
          </w:p>
        </w:tc>
        <w:tc>
          <w:tcPr>
            <w:tcW w:w="702" w:type="dxa"/>
            <w:tcBorders>
              <w:top w:val="nil"/>
              <w:left w:val="single" w:sz="4" w:space="0" w:color="auto"/>
              <w:bottom w:val="nil"/>
              <w:right w:val="nil"/>
            </w:tcBorders>
            <w:shd w:val="clear" w:color="auto" w:fill="auto"/>
            <w:noWrap/>
            <w:vAlign w:val="bottom"/>
            <w:hideMark/>
          </w:tcPr>
          <w:p w14:paraId="5EC05E2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13</w:t>
            </w:r>
          </w:p>
        </w:tc>
        <w:tc>
          <w:tcPr>
            <w:tcW w:w="666" w:type="dxa"/>
            <w:tcBorders>
              <w:top w:val="nil"/>
              <w:left w:val="nil"/>
              <w:bottom w:val="nil"/>
              <w:right w:val="nil"/>
            </w:tcBorders>
            <w:shd w:val="clear" w:color="auto" w:fill="auto"/>
            <w:noWrap/>
            <w:vAlign w:val="bottom"/>
            <w:hideMark/>
          </w:tcPr>
          <w:p w14:paraId="14E8A65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35%</w:t>
            </w:r>
          </w:p>
        </w:tc>
        <w:tc>
          <w:tcPr>
            <w:tcW w:w="666" w:type="dxa"/>
            <w:tcBorders>
              <w:top w:val="nil"/>
              <w:left w:val="nil"/>
              <w:bottom w:val="nil"/>
              <w:right w:val="nil"/>
            </w:tcBorders>
            <w:shd w:val="clear" w:color="auto" w:fill="auto"/>
            <w:noWrap/>
            <w:vAlign w:val="bottom"/>
            <w:hideMark/>
          </w:tcPr>
          <w:p w14:paraId="3C41CC24"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-7%</w:t>
            </w:r>
          </w:p>
        </w:tc>
        <w:tc>
          <w:tcPr>
            <w:tcW w:w="794" w:type="dxa"/>
            <w:tcBorders>
              <w:top w:val="nil"/>
              <w:left w:val="single" w:sz="4" w:space="0" w:color="auto"/>
              <w:bottom w:val="nil"/>
              <w:right w:val="nil"/>
            </w:tcBorders>
            <w:shd w:val="clear" w:color="auto" w:fill="auto"/>
            <w:noWrap/>
            <w:vAlign w:val="bottom"/>
            <w:hideMark/>
          </w:tcPr>
          <w:p w14:paraId="434162E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167</w:t>
            </w:r>
          </w:p>
        </w:tc>
        <w:tc>
          <w:tcPr>
            <w:tcW w:w="709" w:type="dxa"/>
            <w:tcBorders>
              <w:top w:val="nil"/>
              <w:left w:val="nil"/>
              <w:bottom w:val="nil"/>
              <w:right w:val="nil"/>
            </w:tcBorders>
            <w:shd w:val="clear" w:color="auto" w:fill="auto"/>
            <w:noWrap/>
            <w:vAlign w:val="bottom"/>
            <w:hideMark/>
          </w:tcPr>
          <w:p w14:paraId="3E7D4D3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-15%</w:t>
            </w:r>
          </w:p>
        </w:tc>
      </w:tr>
      <w:tr w:rsidR="0064654E" w:rsidRPr="0064654E" w14:paraId="76881DE8" w14:textId="77777777" w:rsidTr="0064654E">
        <w:trPr>
          <w:trHeight w:val="20"/>
        </w:trPr>
        <w:tc>
          <w:tcPr>
            <w:tcW w:w="1418" w:type="dxa"/>
            <w:tcBorders>
              <w:top w:val="nil"/>
              <w:left w:val="nil"/>
              <w:bottom w:val="nil"/>
              <w:right w:val="nil"/>
            </w:tcBorders>
            <w:shd w:val="clear" w:color="auto" w:fill="auto"/>
            <w:noWrap/>
            <w:vAlign w:val="bottom"/>
            <w:hideMark/>
          </w:tcPr>
          <w:p w14:paraId="0A121FE4"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镇江</w:t>
            </w:r>
          </w:p>
        </w:tc>
        <w:tc>
          <w:tcPr>
            <w:tcW w:w="993" w:type="dxa"/>
            <w:tcBorders>
              <w:top w:val="nil"/>
              <w:left w:val="single" w:sz="4" w:space="0" w:color="auto"/>
              <w:bottom w:val="nil"/>
              <w:right w:val="nil"/>
            </w:tcBorders>
            <w:shd w:val="clear" w:color="auto" w:fill="auto"/>
            <w:noWrap/>
            <w:vAlign w:val="bottom"/>
            <w:hideMark/>
          </w:tcPr>
          <w:p w14:paraId="745E1A0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124,666</w:t>
            </w:r>
          </w:p>
        </w:tc>
        <w:tc>
          <w:tcPr>
            <w:tcW w:w="708" w:type="dxa"/>
            <w:tcBorders>
              <w:top w:val="nil"/>
              <w:left w:val="nil"/>
              <w:bottom w:val="nil"/>
              <w:right w:val="nil"/>
            </w:tcBorders>
            <w:shd w:val="clear" w:color="auto" w:fill="auto"/>
            <w:noWrap/>
            <w:vAlign w:val="bottom"/>
            <w:hideMark/>
          </w:tcPr>
          <w:p w14:paraId="5919AB8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w:t>
            </w:r>
          </w:p>
        </w:tc>
        <w:tc>
          <w:tcPr>
            <w:tcW w:w="851" w:type="dxa"/>
            <w:tcBorders>
              <w:top w:val="nil"/>
              <w:left w:val="nil"/>
              <w:bottom w:val="nil"/>
              <w:right w:val="nil"/>
            </w:tcBorders>
            <w:shd w:val="clear" w:color="auto" w:fill="auto"/>
            <w:noWrap/>
            <w:vAlign w:val="bottom"/>
            <w:hideMark/>
          </w:tcPr>
          <w:p w14:paraId="48D729C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-20%</w:t>
            </w:r>
          </w:p>
        </w:tc>
        <w:tc>
          <w:tcPr>
            <w:tcW w:w="711" w:type="dxa"/>
            <w:tcBorders>
              <w:top w:val="nil"/>
              <w:left w:val="single" w:sz="4" w:space="0" w:color="auto"/>
              <w:bottom w:val="nil"/>
              <w:right w:val="nil"/>
            </w:tcBorders>
            <w:shd w:val="clear" w:color="auto" w:fill="auto"/>
            <w:noWrap/>
            <w:vAlign w:val="bottom"/>
            <w:hideMark/>
          </w:tcPr>
          <w:p w14:paraId="016B4E5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471</w:t>
            </w:r>
          </w:p>
        </w:tc>
        <w:tc>
          <w:tcPr>
            <w:tcW w:w="756" w:type="dxa"/>
            <w:tcBorders>
              <w:top w:val="nil"/>
              <w:left w:val="nil"/>
              <w:bottom w:val="nil"/>
              <w:right w:val="nil"/>
            </w:tcBorders>
            <w:shd w:val="clear" w:color="auto" w:fill="auto"/>
            <w:noWrap/>
            <w:vAlign w:val="bottom"/>
            <w:hideMark/>
          </w:tcPr>
          <w:p w14:paraId="0CA8B07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618%</w:t>
            </w:r>
          </w:p>
        </w:tc>
        <w:tc>
          <w:tcPr>
            <w:tcW w:w="666" w:type="dxa"/>
            <w:tcBorders>
              <w:top w:val="nil"/>
              <w:left w:val="nil"/>
              <w:bottom w:val="nil"/>
              <w:right w:val="nil"/>
            </w:tcBorders>
            <w:shd w:val="clear" w:color="auto" w:fill="auto"/>
            <w:noWrap/>
            <w:vAlign w:val="bottom"/>
            <w:hideMark/>
          </w:tcPr>
          <w:p w14:paraId="3E87087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-37%</w:t>
            </w:r>
          </w:p>
        </w:tc>
        <w:tc>
          <w:tcPr>
            <w:tcW w:w="702" w:type="dxa"/>
            <w:tcBorders>
              <w:top w:val="nil"/>
              <w:left w:val="single" w:sz="4" w:space="0" w:color="auto"/>
              <w:bottom w:val="nil"/>
              <w:right w:val="nil"/>
            </w:tcBorders>
            <w:shd w:val="clear" w:color="auto" w:fill="auto"/>
            <w:noWrap/>
            <w:vAlign w:val="bottom"/>
            <w:hideMark/>
          </w:tcPr>
          <w:p w14:paraId="5D5DBCC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50</w:t>
            </w:r>
          </w:p>
        </w:tc>
        <w:tc>
          <w:tcPr>
            <w:tcW w:w="666" w:type="dxa"/>
            <w:tcBorders>
              <w:top w:val="nil"/>
              <w:left w:val="nil"/>
              <w:bottom w:val="nil"/>
              <w:right w:val="nil"/>
            </w:tcBorders>
            <w:shd w:val="clear" w:color="auto" w:fill="auto"/>
            <w:noWrap/>
            <w:vAlign w:val="bottom"/>
            <w:hideMark/>
          </w:tcPr>
          <w:p w14:paraId="701EF45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180%</w:t>
            </w:r>
          </w:p>
        </w:tc>
        <w:tc>
          <w:tcPr>
            <w:tcW w:w="666" w:type="dxa"/>
            <w:tcBorders>
              <w:top w:val="nil"/>
              <w:left w:val="nil"/>
              <w:bottom w:val="nil"/>
              <w:right w:val="nil"/>
            </w:tcBorders>
            <w:shd w:val="clear" w:color="auto" w:fill="auto"/>
            <w:noWrap/>
            <w:vAlign w:val="bottom"/>
            <w:hideMark/>
          </w:tcPr>
          <w:p w14:paraId="6E91226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w:t>
            </w:r>
          </w:p>
        </w:tc>
        <w:tc>
          <w:tcPr>
            <w:tcW w:w="794" w:type="dxa"/>
            <w:tcBorders>
              <w:top w:val="nil"/>
              <w:left w:val="single" w:sz="4" w:space="0" w:color="auto"/>
              <w:bottom w:val="nil"/>
              <w:right w:val="nil"/>
            </w:tcBorders>
            <w:shd w:val="clear" w:color="auto" w:fill="auto"/>
            <w:noWrap/>
            <w:vAlign w:val="bottom"/>
            <w:hideMark/>
          </w:tcPr>
          <w:p w14:paraId="50E166B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891</w:t>
            </w:r>
          </w:p>
        </w:tc>
        <w:tc>
          <w:tcPr>
            <w:tcW w:w="709" w:type="dxa"/>
            <w:tcBorders>
              <w:top w:val="nil"/>
              <w:left w:val="nil"/>
              <w:bottom w:val="nil"/>
              <w:right w:val="nil"/>
            </w:tcBorders>
            <w:shd w:val="clear" w:color="auto" w:fill="auto"/>
            <w:noWrap/>
            <w:vAlign w:val="bottom"/>
            <w:hideMark/>
          </w:tcPr>
          <w:p w14:paraId="722E553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-50%</w:t>
            </w:r>
          </w:p>
        </w:tc>
      </w:tr>
      <w:tr w:rsidR="0064654E" w:rsidRPr="0064654E" w14:paraId="1B2E44A4" w14:textId="77777777" w:rsidTr="0064654E">
        <w:trPr>
          <w:trHeight w:val="20"/>
        </w:trPr>
        <w:tc>
          <w:tcPr>
            <w:tcW w:w="1418" w:type="dxa"/>
            <w:tcBorders>
              <w:top w:val="nil"/>
              <w:left w:val="nil"/>
              <w:bottom w:val="nil"/>
              <w:right w:val="nil"/>
            </w:tcBorders>
            <w:shd w:val="clear" w:color="auto" w:fill="auto"/>
            <w:noWrap/>
            <w:vAlign w:val="bottom"/>
            <w:hideMark/>
          </w:tcPr>
          <w:p w14:paraId="5EF04218"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淮南</w:t>
            </w:r>
          </w:p>
        </w:tc>
        <w:tc>
          <w:tcPr>
            <w:tcW w:w="993" w:type="dxa"/>
            <w:tcBorders>
              <w:top w:val="nil"/>
              <w:left w:val="single" w:sz="4" w:space="0" w:color="auto"/>
              <w:bottom w:val="nil"/>
              <w:right w:val="nil"/>
            </w:tcBorders>
            <w:shd w:val="clear" w:color="auto" w:fill="auto"/>
            <w:noWrap/>
            <w:vAlign w:val="bottom"/>
            <w:hideMark/>
          </w:tcPr>
          <w:p w14:paraId="4224737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42,547</w:t>
            </w:r>
          </w:p>
        </w:tc>
        <w:tc>
          <w:tcPr>
            <w:tcW w:w="708" w:type="dxa"/>
            <w:tcBorders>
              <w:top w:val="nil"/>
              <w:left w:val="nil"/>
              <w:bottom w:val="nil"/>
              <w:right w:val="nil"/>
            </w:tcBorders>
            <w:shd w:val="clear" w:color="auto" w:fill="auto"/>
            <w:noWrap/>
            <w:vAlign w:val="bottom"/>
            <w:hideMark/>
          </w:tcPr>
          <w:p w14:paraId="0B6DEFB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25%</w:t>
            </w:r>
          </w:p>
        </w:tc>
        <w:tc>
          <w:tcPr>
            <w:tcW w:w="851" w:type="dxa"/>
            <w:tcBorders>
              <w:top w:val="nil"/>
              <w:left w:val="nil"/>
              <w:bottom w:val="nil"/>
              <w:right w:val="nil"/>
            </w:tcBorders>
            <w:shd w:val="clear" w:color="auto" w:fill="auto"/>
            <w:noWrap/>
            <w:vAlign w:val="bottom"/>
            <w:hideMark/>
          </w:tcPr>
          <w:p w14:paraId="13926A18"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27%</w:t>
            </w:r>
          </w:p>
        </w:tc>
        <w:tc>
          <w:tcPr>
            <w:tcW w:w="711" w:type="dxa"/>
            <w:tcBorders>
              <w:top w:val="nil"/>
              <w:left w:val="single" w:sz="4" w:space="0" w:color="auto"/>
              <w:bottom w:val="nil"/>
              <w:right w:val="nil"/>
            </w:tcBorders>
            <w:shd w:val="clear" w:color="auto" w:fill="auto"/>
            <w:noWrap/>
            <w:vAlign w:val="bottom"/>
            <w:hideMark/>
          </w:tcPr>
          <w:p w14:paraId="72FCE50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153</w:t>
            </w:r>
          </w:p>
        </w:tc>
        <w:tc>
          <w:tcPr>
            <w:tcW w:w="756" w:type="dxa"/>
            <w:tcBorders>
              <w:top w:val="nil"/>
              <w:left w:val="nil"/>
              <w:bottom w:val="nil"/>
              <w:right w:val="nil"/>
            </w:tcBorders>
            <w:shd w:val="clear" w:color="auto" w:fill="auto"/>
            <w:noWrap/>
            <w:vAlign w:val="bottom"/>
            <w:hideMark/>
          </w:tcPr>
          <w:p w14:paraId="6AEBDE64"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311%</w:t>
            </w:r>
          </w:p>
        </w:tc>
        <w:tc>
          <w:tcPr>
            <w:tcW w:w="666" w:type="dxa"/>
            <w:tcBorders>
              <w:top w:val="nil"/>
              <w:left w:val="nil"/>
              <w:bottom w:val="nil"/>
              <w:right w:val="nil"/>
            </w:tcBorders>
            <w:shd w:val="clear" w:color="auto" w:fill="auto"/>
            <w:noWrap/>
            <w:vAlign w:val="bottom"/>
            <w:hideMark/>
          </w:tcPr>
          <w:p w14:paraId="75BF84D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16%</w:t>
            </w:r>
          </w:p>
        </w:tc>
        <w:tc>
          <w:tcPr>
            <w:tcW w:w="702" w:type="dxa"/>
            <w:tcBorders>
              <w:top w:val="nil"/>
              <w:left w:val="single" w:sz="4" w:space="0" w:color="auto"/>
              <w:bottom w:val="nil"/>
              <w:right w:val="nil"/>
            </w:tcBorders>
            <w:shd w:val="clear" w:color="auto" w:fill="auto"/>
            <w:noWrap/>
            <w:vAlign w:val="bottom"/>
            <w:hideMark/>
          </w:tcPr>
          <w:p w14:paraId="4F58C05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28</w:t>
            </w:r>
          </w:p>
        </w:tc>
        <w:tc>
          <w:tcPr>
            <w:tcW w:w="666" w:type="dxa"/>
            <w:tcBorders>
              <w:top w:val="nil"/>
              <w:left w:val="nil"/>
              <w:bottom w:val="nil"/>
              <w:right w:val="nil"/>
            </w:tcBorders>
            <w:shd w:val="clear" w:color="auto" w:fill="auto"/>
            <w:noWrap/>
            <w:vAlign w:val="bottom"/>
            <w:hideMark/>
          </w:tcPr>
          <w:p w14:paraId="1AD8A4E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227%</w:t>
            </w:r>
          </w:p>
        </w:tc>
        <w:tc>
          <w:tcPr>
            <w:tcW w:w="666" w:type="dxa"/>
            <w:tcBorders>
              <w:top w:val="nil"/>
              <w:left w:val="nil"/>
              <w:bottom w:val="nil"/>
              <w:right w:val="nil"/>
            </w:tcBorders>
            <w:shd w:val="clear" w:color="auto" w:fill="auto"/>
            <w:noWrap/>
            <w:vAlign w:val="bottom"/>
            <w:hideMark/>
          </w:tcPr>
          <w:p w14:paraId="043AE1B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39%</w:t>
            </w:r>
          </w:p>
        </w:tc>
        <w:tc>
          <w:tcPr>
            <w:tcW w:w="794" w:type="dxa"/>
            <w:tcBorders>
              <w:top w:val="nil"/>
              <w:left w:val="single" w:sz="4" w:space="0" w:color="auto"/>
              <w:bottom w:val="nil"/>
              <w:right w:val="nil"/>
            </w:tcBorders>
            <w:shd w:val="clear" w:color="auto" w:fill="auto"/>
            <w:noWrap/>
            <w:vAlign w:val="bottom"/>
            <w:hideMark/>
          </w:tcPr>
          <w:p w14:paraId="61F24BB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279</w:t>
            </w:r>
          </w:p>
        </w:tc>
        <w:tc>
          <w:tcPr>
            <w:tcW w:w="709" w:type="dxa"/>
            <w:tcBorders>
              <w:top w:val="nil"/>
              <w:left w:val="nil"/>
              <w:bottom w:val="nil"/>
              <w:right w:val="nil"/>
            </w:tcBorders>
            <w:shd w:val="clear" w:color="auto" w:fill="auto"/>
            <w:noWrap/>
            <w:vAlign w:val="bottom"/>
            <w:hideMark/>
          </w:tcPr>
          <w:p w14:paraId="274EF589"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-40%</w:t>
            </w:r>
          </w:p>
        </w:tc>
      </w:tr>
      <w:tr w:rsidR="0064654E" w:rsidRPr="0064654E" w14:paraId="7F3565D4" w14:textId="77777777" w:rsidTr="0064654E">
        <w:trPr>
          <w:trHeight w:val="20"/>
        </w:trPr>
        <w:tc>
          <w:tcPr>
            <w:tcW w:w="1418" w:type="dxa"/>
            <w:tcBorders>
              <w:top w:val="nil"/>
              <w:left w:val="nil"/>
              <w:bottom w:val="nil"/>
              <w:right w:val="nil"/>
            </w:tcBorders>
            <w:shd w:val="clear" w:color="auto" w:fill="auto"/>
            <w:noWrap/>
            <w:vAlign w:val="bottom"/>
            <w:hideMark/>
          </w:tcPr>
          <w:p w14:paraId="590C0013"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芜湖</w:t>
            </w:r>
          </w:p>
        </w:tc>
        <w:tc>
          <w:tcPr>
            <w:tcW w:w="993" w:type="dxa"/>
            <w:tcBorders>
              <w:top w:val="nil"/>
              <w:left w:val="single" w:sz="4" w:space="0" w:color="auto"/>
              <w:bottom w:val="nil"/>
              <w:right w:val="nil"/>
            </w:tcBorders>
            <w:shd w:val="clear" w:color="auto" w:fill="auto"/>
            <w:noWrap/>
            <w:vAlign w:val="bottom"/>
            <w:hideMark/>
          </w:tcPr>
          <w:p w14:paraId="3C6BB11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43,946</w:t>
            </w:r>
          </w:p>
        </w:tc>
        <w:tc>
          <w:tcPr>
            <w:tcW w:w="708" w:type="dxa"/>
            <w:tcBorders>
              <w:top w:val="nil"/>
              <w:left w:val="nil"/>
              <w:bottom w:val="nil"/>
              <w:right w:val="nil"/>
            </w:tcBorders>
            <w:shd w:val="clear" w:color="auto" w:fill="auto"/>
            <w:noWrap/>
            <w:vAlign w:val="bottom"/>
            <w:hideMark/>
          </w:tcPr>
          <w:p w14:paraId="0A75B78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31%</w:t>
            </w:r>
          </w:p>
        </w:tc>
        <w:tc>
          <w:tcPr>
            <w:tcW w:w="851" w:type="dxa"/>
            <w:tcBorders>
              <w:top w:val="nil"/>
              <w:left w:val="nil"/>
              <w:bottom w:val="nil"/>
              <w:right w:val="nil"/>
            </w:tcBorders>
            <w:shd w:val="clear" w:color="auto" w:fill="auto"/>
            <w:noWrap/>
            <w:vAlign w:val="bottom"/>
            <w:hideMark/>
          </w:tcPr>
          <w:p w14:paraId="610F107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89%</w:t>
            </w:r>
          </w:p>
        </w:tc>
        <w:tc>
          <w:tcPr>
            <w:tcW w:w="711" w:type="dxa"/>
            <w:tcBorders>
              <w:top w:val="nil"/>
              <w:left w:val="single" w:sz="4" w:space="0" w:color="auto"/>
              <w:bottom w:val="nil"/>
              <w:right w:val="nil"/>
            </w:tcBorders>
            <w:shd w:val="clear" w:color="auto" w:fill="auto"/>
            <w:noWrap/>
            <w:vAlign w:val="bottom"/>
            <w:hideMark/>
          </w:tcPr>
          <w:p w14:paraId="19F744D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169</w:t>
            </w:r>
          </w:p>
        </w:tc>
        <w:tc>
          <w:tcPr>
            <w:tcW w:w="756" w:type="dxa"/>
            <w:tcBorders>
              <w:top w:val="nil"/>
              <w:left w:val="nil"/>
              <w:bottom w:val="nil"/>
              <w:right w:val="nil"/>
            </w:tcBorders>
            <w:shd w:val="clear" w:color="auto" w:fill="auto"/>
            <w:noWrap/>
            <w:vAlign w:val="bottom"/>
            <w:hideMark/>
          </w:tcPr>
          <w:p w14:paraId="3E192BB3"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260%</w:t>
            </w:r>
          </w:p>
        </w:tc>
        <w:tc>
          <w:tcPr>
            <w:tcW w:w="666" w:type="dxa"/>
            <w:tcBorders>
              <w:top w:val="nil"/>
              <w:left w:val="nil"/>
              <w:bottom w:val="nil"/>
              <w:right w:val="nil"/>
            </w:tcBorders>
            <w:shd w:val="clear" w:color="auto" w:fill="auto"/>
            <w:noWrap/>
            <w:vAlign w:val="bottom"/>
            <w:hideMark/>
          </w:tcPr>
          <w:p w14:paraId="66AE36F6"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36%</w:t>
            </w:r>
          </w:p>
        </w:tc>
        <w:tc>
          <w:tcPr>
            <w:tcW w:w="702" w:type="dxa"/>
            <w:tcBorders>
              <w:top w:val="nil"/>
              <w:left w:val="single" w:sz="4" w:space="0" w:color="auto"/>
              <w:bottom w:val="nil"/>
              <w:right w:val="nil"/>
            </w:tcBorders>
            <w:shd w:val="clear" w:color="auto" w:fill="auto"/>
            <w:noWrap/>
            <w:vAlign w:val="bottom"/>
            <w:hideMark/>
          </w:tcPr>
          <w:p w14:paraId="447F596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23</w:t>
            </w:r>
          </w:p>
        </w:tc>
        <w:tc>
          <w:tcPr>
            <w:tcW w:w="666" w:type="dxa"/>
            <w:tcBorders>
              <w:top w:val="nil"/>
              <w:left w:val="nil"/>
              <w:bottom w:val="nil"/>
              <w:right w:val="nil"/>
            </w:tcBorders>
            <w:shd w:val="clear" w:color="auto" w:fill="auto"/>
            <w:noWrap/>
            <w:vAlign w:val="bottom"/>
            <w:hideMark/>
          </w:tcPr>
          <w:p w14:paraId="64959CAE"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w:t>
            </w:r>
          </w:p>
        </w:tc>
        <w:tc>
          <w:tcPr>
            <w:tcW w:w="666" w:type="dxa"/>
            <w:tcBorders>
              <w:top w:val="nil"/>
              <w:left w:val="nil"/>
              <w:bottom w:val="nil"/>
              <w:right w:val="nil"/>
            </w:tcBorders>
            <w:shd w:val="clear" w:color="auto" w:fill="auto"/>
            <w:noWrap/>
            <w:vAlign w:val="bottom"/>
            <w:hideMark/>
          </w:tcPr>
          <w:p w14:paraId="5AA8BE5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96%</w:t>
            </w:r>
          </w:p>
        </w:tc>
        <w:tc>
          <w:tcPr>
            <w:tcW w:w="794" w:type="dxa"/>
            <w:tcBorders>
              <w:top w:val="nil"/>
              <w:left w:val="single" w:sz="4" w:space="0" w:color="auto"/>
              <w:bottom w:val="nil"/>
              <w:right w:val="nil"/>
            </w:tcBorders>
            <w:shd w:val="clear" w:color="auto" w:fill="auto"/>
            <w:noWrap/>
            <w:vAlign w:val="bottom"/>
            <w:hideMark/>
          </w:tcPr>
          <w:p w14:paraId="169BD8F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300</w:t>
            </w:r>
          </w:p>
        </w:tc>
        <w:tc>
          <w:tcPr>
            <w:tcW w:w="709" w:type="dxa"/>
            <w:tcBorders>
              <w:top w:val="nil"/>
              <w:left w:val="nil"/>
              <w:bottom w:val="nil"/>
              <w:right w:val="nil"/>
            </w:tcBorders>
            <w:shd w:val="clear" w:color="auto" w:fill="auto"/>
            <w:noWrap/>
            <w:vAlign w:val="bottom"/>
            <w:hideMark/>
          </w:tcPr>
          <w:p w14:paraId="73E04EA1"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w:t>
            </w:r>
          </w:p>
        </w:tc>
      </w:tr>
      <w:tr w:rsidR="0064654E" w:rsidRPr="0064654E" w14:paraId="1F870154" w14:textId="77777777" w:rsidTr="0064654E">
        <w:trPr>
          <w:trHeight w:val="20"/>
        </w:trPr>
        <w:tc>
          <w:tcPr>
            <w:tcW w:w="1418" w:type="dxa"/>
            <w:tcBorders>
              <w:top w:val="nil"/>
              <w:left w:val="nil"/>
              <w:bottom w:val="nil"/>
              <w:right w:val="nil"/>
            </w:tcBorders>
            <w:shd w:val="clear" w:color="auto" w:fill="auto"/>
            <w:noWrap/>
            <w:vAlign w:val="bottom"/>
            <w:hideMark/>
          </w:tcPr>
          <w:p w14:paraId="3E907339"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盐城</w:t>
            </w:r>
          </w:p>
        </w:tc>
        <w:tc>
          <w:tcPr>
            <w:tcW w:w="993" w:type="dxa"/>
            <w:tcBorders>
              <w:top w:val="nil"/>
              <w:left w:val="single" w:sz="4" w:space="0" w:color="auto"/>
              <w:bottom w:val="nil"/>
              <w:right w:val="nil"/>
            </w:tcBorders>
            <w:shd w:val="clear" w:color="auto" w:fill="auto"/>
            <w:noWrap/>
            <w:vAlign w:val="bottom"/>
            <w:hideMark/>
          </w:tcPr>
          <w:p w14:paraId="46A1194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73,526</w:t>
            </w:r>
          </w:p>
        </w:tc>
        <w:tc>
          <w:tcPr>
            <w:tcW w:w="708" w:type="dxa"/>
            <w:tcBorders>
              <w:top w:val="nil"/>
              <w:left w:val="nil"/>
              <w:bottom w:val="nil"/>
              <w:right w:val="nil"/>
            </w:tcBorders>
            <w:shd w:val="clear" w:color="auto" w:fill="auto"/>
            <w:noWrap/>
            <w:vAlign w:val="bottom"/>
            <w:hideMark/>
          </w:tcPr>
          <w:p w14:paraId="2D530B1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-11%</w:t>
            </w:r>
          </w:p>
        </w:tc>
        <w:tc>
          <w:tcPr>
            <w:tcW w:w="851" w:type="dxa"/>
            <w:tcBorders>
              <w:top w:val="nil"/>
              <w:left w:val="nil"/>
              <w:bottom w:val="nil"/>
              <w:right w:val="nil"/>
            </w:tcBorders>
            <w:shd w:val="clear" w:color="auto" w:fill="auto"/>
            <w:noWrap/>
            <w:vAlign w:val="bottom"/>
            <w:hideMark/>
          </w:tcPr>
          <w:p w14:paraId="65DD2C79"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9%</w:t>
            </w:r>
          </w:p>
        </w:tc>
        <w:tc>
          <w:tcPr>
            <w:tcW w:w="711" w:type="dxa"/>
            <w:tcBorders>
              <w:top w:val="nil"/>
              <w:left w:val="single" w:sz="4" w:space="0" w:color="auto"/>
              <w:bottom w:val="nil"/>
              <w:right w:val="nil"/>
            </w:tcBorders>
            <w:shd w:val="clear" w:color="auto" w:fill="auto"/>
            <w:noWrap/>
            <w:vAlign w:val="bottom"/>
            <w:hideMark/>
          </w:tcPr>
          <w:p w14:paraId="710003D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295</w:t>
            </w:r>
          </w:p>
        </w:tc>
        <w:tc>
          <w:tcPr>
            <w:tcW w:w="756" w:type="dxa"/>
            <w:tcBorders>
              <w:top w:val="nil"/>
              <w:left w:val="nil"/>
              <w:bottom w:val="nil"/>
              <w:right w:val="nil"/>
            </w:tcBorders>
            <w:shd w:val="clear" w:color="auto" w:fill="auto"/>
            <w:noWrap/>
            <w:vAlign w:val="bottom"/>
            <w:hideMark/>
          </w:tcPr>
          <w:p w14:paraId="28A0E9F6"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130%</w:t>
            </w:r>
          </w:p>
        </w:tc>
        <w:tc>
          <w:tcPr>
            <w:tcW w:w="666" w:type="dxa"/>
            <w:tcBorders>
              <w:top w:val="nil"/>
              <w:left w:val="nil"/>
              <w:bottom w:val="nil"/>
              <w:right w:val="nil"/>
            </w:tcBorders>
            <w:shd w:val="clear" w:color="auto" w:fill="auto"/>
            <w:noWrap/>
            <w:vAlign w:val="bottom"/>
            <w:hideMark/>
          </w:tcPr>
          <w:p w14:paraId="403C508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-20%</w:t>
            </w:r>
          </w:p>
        </w:tc>
        <w:tc>
          <w:tcPr>
            <w:tcW w:w="702" w:type="dxa"/>
            <w:tcBorders>
              <w:top w:val="nil"/>
              <w:left w:val="single" w:sz="4" w:space="0" w:color="auto"/>
              <w:bottom w:val="nil"/>
              <w:right w:val="nil"/>
            </w:tcBorders>
            <w:shd w:val="clear" w:color="auto" w:fill="auto"/>
            <w:noWrap/>
            <w:vAlign w:val="bottom"/>
            <w:hideMark/>
          </w:tcPr>
          <w:p w14:paraId="64E9C31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37</w:t>
            </w:r>
          </w:p>
        </w:tc>
        <w:tc>
          <w:tcPr>
            <w:tcW w:w="666" w:type="dxa"/>
            <w:tcBorders>
              <w:top w:val="nil"/>
              <w:left w:val="nil"/>
              <w:bottom w:val="nil"/>
              <w:right w:val="nil"/>
            </w:tcBorders>
            <w:shd w:val="clear" w:color="auto" w:fill="auto"/>
            <w:noWrap/>
            <w:vAlign w:val="bottom"/>
            <w:hideMark/>
          </w:tcPr>
          <w:p w14:paraId="76EE8C8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-27%</w:t>
            </w:r>
          </w:p>
        </w:tc>
        <w:tc>
          <w:tcPr>
            <w:tcW w:w="666" w:type="dxa"/>
            <w:tcBorders>
              <w:top w:val="nil"/>
              <w:left w:val="nil"/>
              <w:bottom w:val="nil"/>
              <w:right w:val="nil"/>
            </w:tcBorders>
            <w:shd w:val="clear" w:color="auto" w:fill="auto"/>
            <w:noWrap/>
            <w:vAlign w:val="bottom"/>
            <w:hideMark/>
          </w:tcPr>
          <w:p w14:paraId="38929101"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7%</w:t>
            </w:r>
          </w:p>
        </w:tc>
        <w:tc>
          <w:tcPr>
            <w:tcW w:w="794" w:type="dxa"/>
            <w:tcBorders>
              <w:top w:val="nil"/>
              <w:left w:val="single" w:sz="4" w:space="0" w:color="auto"/>
              <w:bottom w:val="nil"/>
              <w:right w:val="nil"/>
            </w:tcBorders>
            <w:shd w:val="clear" w:color="auto" w:fill="auto"/>
            <w:noWrap/>
            <w:vAlign w:val="bottom"/>
            <w:hideMark/>
          </w:tcPr>
          <w:p w14:paraId="69D1AB6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602</w:t>
            </w:r>
          </w:p>
        </w:tc>
        <w:tc>
          <w:tcPr>
            <w:tcW w:w="709" w:type="dxa"/>
            <w:tcBorders>
              <w:top w:val="nil"/>
              <w:left w:val="nil"/>
              <w:bottom w:val="nil"/>
              <w:right w:val="nil"/>
            </w:tcBorders>
            <w:shd w:val="clear" w:color="auto" w:fill="auto"/>
            <w:noWrap/>
            <w:vAlign w:val="bottom"/>
            <w:hideMark/>
          </w:tcPr>
          <w:p w14:paraId="2BA978A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-26%</w:t>
            </w:r>
          </w:p>
        </w:tc>
      </w:tr>
      <w:tr w:rsidR="0064654E" w:rsidRPr="0064654E" w14:paraId="0C701853" w14:textId="77777777" w:rsidTr="0064654E">
        <w:trPr>
          <w:trHeight w:val="20"/>
        </w:trPr>
        <w:tc>
          <w:tcPr>
            <w:tcW w:w="1418" w:type="dxa"/>
            <w:tcBorders>
              <w:top w:val="nil"/>
              <w:left w:val="nil"/>
              <w:bottom w:val="nil"/>
              <w:right w:val="nil"/>
            </w:tcBorders>
            <w:shd w:val="clear" w:color="auto" w:fill="auto"/>
            <w:noWrap/>
            <w:vAlign w:val="bottom"/>
            <w:hideMark/>
          </w:tcPr>
          <w:p w14:paraId="194AB8C1"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舟山</w:t>
            </w:r>
          </w:p>
        </w:tc>
        <w:tc>
          <w:tcPr>
            <w:tcW w:w="993" w:type="dxa"/>
            <w:tcBorders>
              <w:top w:val="nil"/>
              <w:left w:val="single" w:sz="4" w:space="0" w:color="auto"/>
              <w:bottom w:val="nil"/>
              <w:right w:val="nil"/>
            </w:tcBorders>
            <w:shd w:val="clear" w:color="auto" w:fill="auto"/>
            <w:noWrap/>
            <w:vAlign w:val="bottom"/>
            <w:hideMark/>
          </w:tcPr>
          <w:p w14:paraId="629E714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43,134</w:t>
            </w:r>
          </w:p>
        </w:tc>
        <w:tc>
          <w:tcPr>
            <w:tcW w:w="708" w:type="dxa"/>
            <w:tcBorders>
              <w:top w:val="nil"/>
              <w:left w:val="nil"/>
              <w:bottom w:val="nil"/>
              <w:right w:val="nil"/>
            </w:tcBorders>
            <w:shd w:val="clear" w:color="auto" w:fill="auto"/>
            <w:noWrap/>
            <w:vAlign w:val="bottom"/>
            <w:hideMark/>
          </w:tcPr>
          <w:p w14:paraId="736D3863"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67%</w:t>
            </w:r>
          </w:p>
        </w:tc>
        <w:tc>
          <w:tcPr>
            <w:tcW w:w="851" w:type="dxa"/>
            <w:tcBorders>
              <w:top w:val="nil"/>
              <w:left w:val="nil"/>
              <w:bottom w:val="nil"/>
              <w:right w:val="nil"/>
            </w:tcBorders>
            <w:shd w:val="clear" w:color="auto" w:fill="auto"/>
            <w:noWrap/>
            <w:vAlign w:val="bottom"/>
            <w:hideMark/>
          </w:tcPr>
          <w:p w14:paraId="40192E9E"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11%</w:t>
            </w:r>
          </w:p>
        </w:tc>
        <w:tc>
          <w:tcPr>
            <w:tcW w:w="711" w:type="dxa"/>
            <w:tcBorders>
              <w:top w:val="nil"/>
              <w:left w:val="single" w:sz="4" w:space="0" w:color="auto"/>
              <w:bottom w:val="nil"/>
              <w:right w:val="nil"/>
            </w:tcBorders>
            <w:shd w:val="clear" w:color="auto" w:fill="auto"/>
            <w:noWrap/>
            <w:vAlign w:val="bottom"/>
            <w:hideMark/>
          </w:tcPr>
          <w:p w14:paraId="211E389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106</w:t>
            </w:r>
          </w:p>
        </w:tc>
        <w:tc>
          <w:tcPr>
            <w:tcW w:w="756" w:type="dxa"/>
            <w:tcBorders>
              <w:top w:val="nil"/>
              <w:left w:val="nil"/>
              <w:bottom w:val="nil"/>
              <w:right w:val="nil"/>
            </w:tcBorders>
            <w:shd w:val="clear" w:color="auto" w:fill="auto"/>
            <w:noWrap/>
            <w:vAlign w:val="bottom"/>
            <w:hideMark/>
          </w:tcPr>
          <w:p w14:paraId="1F6DE6DA"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256%</w:t>
            </w:r>
          </w:p>
        </w:tc>
        <w:tc>
          <w:tcPr>
            <w:tcW w:w="666" w:type="dxa"/>
            <w:tcBorders>
              <w:top w:val="nil"/>
              <w:left w:val="nil"/>
              <w:bottom w:val="nil"/>
              <w:right w:val="nil"/>
            </w:tcBorders>
            <w:shd w:val="clear" w:color="auto" w:fill="auto"/>
            <w:noWrap/>
            <w:vAlign w:val="bottom"/>
            <w:hideMark/>
          </w:tcPr>
          <w:p w14:paraId="563E058C"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-7%</w:t>
            </w:r>
          </w:p>
        </w:tc>
        <w:tc>
          <w:tcPr>
            <w:tcW w:w="702" w:type="dxa"/>
            <w:tcBorders>
              <w:top w:val="nil"/>
              <w:left w:val="single" w:sz="4" w:space="0" w:color="auto"/>
              <w:bottom w:val="nil"/>
              <w:right w:val="nil"/>
            </w:tcBorders>
            <w:shd w:val="clear" w:color="auto" w:fill="auto"/>
            <w:noWrap/>
            <w:vAlign w:val="bottom"/>
            <w:hideMark/>
          </w:tcPr>
          <w:p w14:paraId="2467A93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w:t>
            </w:r>
          </w:p>
        </w:tc>
        <w:tc>
          <w:tcPr>
            <w:tcW w:w="666" w:type="dxa"/>
            <w:tcBorders>
              <w:top w:val="nil"/>
              <w:left w:val="nil"/>
              <w:bottom w:val="nil"/>
              <w:right w:val="nil"/>
            </w:tcBorders>
            <w:shd w:val="clear" w:color="auto" w:fill="auto"/>
            <w:noWrap/>
            <w:vAlign w:val="bottom"/>
            <w:hideMark/>
          </w:tcPr>
          <w:p w14:paraId="37D3AF9F"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112%</w:t>
            </w:r>
          </w:p>
        </w:tc>
        <w:tc>
          <w:tcPr>
            <w:tcW w:w="666" w:type="dxa"/>
            <w:tcBorders>
              <w:top w:val="nil"/>
              <w:left w:val="nil"/>
              <w:bottom w:val="nil"/>
              <w:right w:val="nil"/>
            </w:tcBorders>
            <w:shd w:val="clear" w:color="auto" w:fill="auto"/>
            <w:noWrap/>
            <w:vAlign w:val="bottom"/>
            <w:hideMark/>
          </w:tcPr>
          <w:p w14:paraId="4F053E47"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30%</w:t>
            </w:r>
          </w:p>
        </w:tc>
        <w:tc>
          <w:tcPr>
            <w:tcW w:w="794" w:type="dxa"/>
            <w:tcBorders>
              <w:top w:val="nil"/>
              <w:left w:val="single" w:sz="4" w:space="0" w:color="auto"/>
              <w:bottom w:val="nil"/>
              <w:right w:val="nil"/>
            </w:tcBorders>
            <w:shd w:val="clear" w:color="auto" w:fill="auto"/>
            <w:noWrap/>
            <w:vAlign w:val="bottom"/>
            <w:hideMark/>
          </w:tcPr>
          <w:p w14:paraId="173309A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205</w:t>
            </w:r>
          </w:p>
        </w:tc>
        <w:tc>
          <w:tcPr>
            <w:tcW w:w="709" w:type="dxa"/>
            <w:tcBorders>
              <w:top w:val="nil"/>
              <w:left w:val="nil"/>
              <w:bottom w:val="nil"/>
              <w:right w:val="nil"/>
            </w:tcBorders>
            <w:shd w:val="clear" w:color="auto" w:fill="auto"/>
            <w:noWrap/>
            <w:vAlign w:val="bottom"/>
            <w:hideMark/>
          </w:tcPr>
          <w:p w14:paraId="1C05252E"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-13%</w:t>
            </w:r>
          </w:p>
        </w:tc>
      </w:tr>
      <w:tr w:rsidR="0064654E" w:rsidRPr="0064654E" w14:paraId="7E0E7931" w14:textId="77777777" w:rsidTr="0064654E">
        <w:trPr>
          <w:trHeight w:val="20"/>
        </w:trPr>
        <w:tc>
          <w:tcPr>
            <w:tcW w:w="1418" w:type="dxa"/>
            <w:tcBorders>
              <w:top w:val="nil"/>
              <w:left w:val="nil"/>
              <w:bottom w:val="nil"/>
              <w:right w:val="nil"/>
            </w:tcBorders>
            <w:shd w:val="clear" w:color="auto" w:fill="auto"/>
            <w:noWrap/>
            <w:vAlign w:val="bottom"/>
            <w:hideMark/>
          </w:tcPr>
          <w:p w14:paraId="4361EDFC"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池州</w:t>
            </w:r>
          </w:p>
        </w:tc>
        <w:tc>
          <w:tcPr>
            <w:tcW w:w="993" w:type="dxa"/>
            <w:tcBorders>
              <w:top w:val="nil"/>
              <w:left w:val="single" w:sz="4" w:space="0" w:color="auto"/>
              <w:bottom w:val="nil"/>
              <w:right w:val="nil"/>
            </w:tcBorders>
            <w:shd w:val="clear" w:color="auto" w:fill="auto"/>
            <w:noWrap/>
            <w:vAlign w:val="bottom"/>
            <w:hideMark/>
          </w:tcPr>
          <w:p w14:paraId="1EF3C17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25,522</w:t>
            </w:r>
          </w:p>
        </w:tc>
        <w:tc>
          <w:tcPr>
            <w:tcW w:w="708" w:type="dxa"/>
            <w:tcBorders>
              <w:top w:val="nil"/>
              <w:left w:val="nil"/>
              <w:bottom w:val="nil"/>
              <w:right w:val="nil"/>
            </w:tcBorders>
            <w:shd w:val="clear" w:color="auto" w:fill="auto"/>
            <w:noWrap/>
            <w:vAlign w:val="bottom"/>
            <w:hideMark/>
          </w:tcPr>
          <w:p w14:paraId="0852328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53%</w:t>
            </w:r>
          </w:p>
        </w:tc>
        <w:tc>
          <w:tcPr>
            <w:tcW w:w="851" w:type="dxa"/>
            <w:tcBorders>
              <w:top w:val="nil"/>
              <w:left w:val="nil"/>
              <w:bottom w:val="nil"/>
              <w:right w:val="nil"/>
            </w:tcBorders>
            <w:shd w:val="clear" w:color="auto" w:fill="auto"/>
            <w:noWrap/>
            <w:vAlign w:val="bottom"/>
            <w:hideMark/>
          </w:tcPr>
          <w:p w14:paraId="54680F6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-30%</w:t>
            </w:r>
          </w:p>
        </w:tc>
        <w:tc>
          <w:tcPr>
            <w:tcW w:w="711" w:type="dxa"/>
            <w:tcBorders>
              <w:top w:val="nil"/>
              <w:left w:val="single" w:sz="4" w:space="0" w:color="auto"/>
              <w:bottom w:val="nil"/>
              <w:right w:val="nil"/>
            </w:tcBorders>
            <w:shd w:val="clear" w:color="auto" w:fill="auto"/>
            <w:noWrap/>
            <w:vAlign w:val="bottom"/>
            <w:hideMark/>
          </w:tcPr>
          <w:p w14:paraId="3724818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72</w:t>
            </w:r>
          </w:p>
        </w:tc>
        <w:tc>
          <w:tcPr>
            <w:tcW w:w="756" w:type="dxa"/>
            <w:tcBorders>
              <w:top w:val="nil"/>
              <w:left w:val="nil"/>
              <w:bottom w:val="nil"/>
              <w:right w:val="nil"/>
            </w:tcBorders>
            <w:shd w:val="clear" w:color="auto" w:fill="auto"/>
            <w:noWrap/>
            <w:vAlign w:val="bottom"/>
            <w:hideMark/>
          </w:tcPr>
          <w:p w14:paraId="0E8A8D23"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57%</w:t>
            </w:r>
          </w:p>
        </w:tc>
        <w:tc>
          <w:tcPr>
            <w:tcW w:w="666" w:type="dxa"/>
            <w:tcBorders>
              <w:top w:val="nil"/>
              <w:left w:val="nil"/>
              <w:bottom w:val="nil"/>
              <w:right w:val="nil"/>
            </w:tcBorders>
            <w:shd w:val="clear" w:color="auto" w:fill="auto"/>
            <w:noWrap/>
            <w:vAlign w:val="bottom"/>
            <w:hideMark/>
          </w:tcPr>
          <w:p w14:paraId="745530C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-33%</w:t>
            </w:r>
          </w:p>
        </w:tc>
        <w:tc>
          <w:tcPr>
            <w:tcW w:w="702" w:type="dxa"/>
            <w:tcBorders>
              <w:top w:val="nil"/>
              <w:left w:val="single" w:sz="4" w:space="0" w:color="auto"/>
              <w:bottom w:val="nil"/>
              <w:right w:val="nil"/>
            </w:tcBorders>
            <w:shd w:val="clear" w:color="auto" w:fill="auto"/>
            <w:noWrap/>
            <w:vAlign w:val="bottom"/>
            <w:hideMark/>
          </w:tcPr>
          <w:p w14:paraId="033E5EC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w:t>
            </w:r>
          </w:p>
        </w:tc>
        <w:tc>
          <w:tcPr>
            <w:tcW w:w="666" w:type="dxa"/>
            <w:tcBorders>
              <w:top w:val="nil"/>
              <w:left w:val="nil"/>
              <w:bottom w:val="nil"/>
              <w:right w:val="nil"/>
            </w:tcBorders>
            <w:shd w:val="clear" w:color="auto" w:fill="auto"/>
            <w:noWrap/>
            <w:vAlign w:val="bottom"/>
            <w:hideMark/>
          </w:tcPr>
          <w:p w14:paraId="0AC6A93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-7%</w:t>
            </w:r>
          </w:p>
        </w:tc>
        <w:tc>
          <w:tcPr>
            <w:tcW w:w="666" w:type="dxa"/>
            <w:tcBorders>
              <w:top w:val="nil"/>
              <w:left w:val="nil"/>
              <w:bottom w:val="nil"/>
              <w:right w:val="nil"/>
            </w:tcBorders>
            <w:shd w:val="clear" w:color="auto" w:fill="auto"/>
            <w:noWrap/>
            <w:vAlign w:val="bottom"/>
            <w:hideMark/>
          </w:tcPr>
          <w:p w14:paraId="0256BAA4"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-29%</w:t>
            </w:r>
          </w:p>
        </w:tc>
        <w:tc>
          <w:tcPr>
            <w:tcW w:w="794" w:type="dxa"/>
            <w:tcBorders>
              <w:top w:val="nil"/>
              <w:left w:val="single" w:sz="4" w:space="0" w:color="auto"/>
              <w:bottom w:val="nil"/>
              <w:right w:val="nil"/>
            </w:tcBorders>
            <w:shd w:val="clear" w:color="auto" w:fill="auto"/>
            <w:noWrap/>
            <w:vAlign w:val="bottom"/>
            <w:hideMark/>
          </w:tcPr>
          <w:p w14:paraId="5442E24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174</w:t>
            </w:r>
          </w:p>
        </w:tc>
        <w:tc>
          <w:tcPr>
            <w:tcW w:w="709" w:type="dxa"/>
            <w:tcBorders>
              <w:top w:val="nil"/>
              <w:left w:val="nil"/>
              <w:bottom w:val="nil"/>
              <w:right w:val="nil"/>
            </w:tcBorders>
            <w:shd w:val="clear" w:color="auto" w:fill="auto"/>
            <w:noWrap/>
            <w:vAlign w:val="bottom"/>
            <w:hideMark/>
          </w:tcPr>
          <w:p w14:paraId="24EEF3D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-38%</w:t>
            </w:r>
          </w:p>
        </w:tc>
      </w:tr>
      <w:tr w:rsidR="0064654E" w:rsidRPr="0064654E" w14:paraId="413E944D" w14:textId="77777777" w:rsidTr="0064654E">
        <w:trPr>
          <w:trHeight w:val="20"/>
        </w:trPr>
        <w:tc>
          <w:tcPr>
            <w:tcW w:w="1418" w:type="dxa"/>
            <w:tcBorders>
              <w:top w:val="nil"/>
              <w:left w:val="nil"/>
              <w:bottom w:val="nil"/>
              <w:right w:val="nil"/>
            </w:tcBorders>
            <w:shd w:val="clear" w:color="auto" w:fill="auto"/>
            <w:noWrap/>
            <w:vAlign w:val="bottom"/>
            <w:hideMark/>
          </w:tcPr>
          <w:p w14:paraId="0C4C3C13"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宁波</w:t>
            </w:r>
          </w:p>
        </w:tc>
        <w:tc>
          <w:tcPr>
            <w:tcW w:w="993" w:type="dxa"/>
            <w:tcBorders>
              <w:top w:val="nil"/>
              <w:left w:val="single" w:sz="4" w:space="0" w:color="auto"/>
              <w:bottom w:val="nil"/>
              <w:right w:val="nil"/>
            </w:tcBorders>
            <w:shd w:val="clear" w:color="auto" w:fill="auto"/>
            <w:noWrap/>
            <w:vAlign w:val="bottom"/>
            <w:hideMark/>
          </w:tcPr>
          <w:p w14:paraId="63A94E5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152,229</w:t>
            </w:r>
          </w:p>
        </w:tc>
        <w:tc>
          <w:tcPr>
            <w:tcW w:w="708" w:type="dxa"/>
            <w:tcBorders>
              <w:top w:val="nil"/>
              <w:left w:val="nil"/>
              <w:bottom w:val="nil"/>
              <w:right w:val="nil"/>
            </w:tcBorders>
            <w:shd w:val="clear" w:color="auto" w:fill="auto"/>
            <w:noWrap/>
            <w:vAlign w:val="bottom"/>
            <w:hideMark/>
          </w:tcPr>
          <w:p w14:paraId="712F243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46%</w:t>
            </w:r>
          </w:p>
        </w:tc>
        <w:tc>
          <w:tcPr>
            <w:tcW w:w="851" w:type="dxa"/>
            <w:tcBorders>
              <w:top w:val="nil"/>
              <w:left w:val="nil"/>
              <w:bottom w:val="nil"/>
              <w:right w:val="nil"/>
            </w:tcBorders>
            <w:shd w:val="clear" w:color="auto" w:fill="auto"/>
            <w:noWrap/>
            <w:vAlign w:val="bottom"/>
            <w:hideMark/>
          </w:tcPr>
          <w:p w14:paraId="388E20B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w:t>
            </w:r>
          </w:p>
        </w:tc>
        <w:tc>
          <w:tcPr>
            <w:tcW w:w="711" w:type="dxa"/>
            <w:tcBorders>
              <w:top w:val="nil"/>
              <w:left w:val="single" w:sz="4" w:space="0" w:color="auto"/>
              <w:bottom w:val="nil"/>
              <w:right w:val="nil"/>
            </w:tcBorders>
            <w:shd w:val="clear" w:color="auto" w:fill="auto"/>
            <w:noWrap/>
            <w:vAlign w:val="bottom"/>
            <w:hideMark/>
          </w:tcPr>
          <w:p w14:paraId="3F88C26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420</w:t>
            </w:r>
          </w:p>
        </w:tc>
        <w:tc>
          <w:tcPr>
            <w:tcW w:w="756" w:type="dxa"/>
            <w:tcBorders>
              <w:top w:val="nil"/>
              <w:left w:val="nil"/>
              <w:bottom w:val="nil"/>
              <w:right w:val="nil"/>
            </w:tcBorders>
            <w:shd w:val="clear" w:color="auto" w:fill="auto"/>
            <w:noWrap/>
            <w:vAlign w:val="bottom"/>
            <w:hideMark/>
          </w:tcPr>
          <w:p w14:paraId="7C96A150"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567%</w:t>
            </w:r>
          </w:p>
        </w:tc>
        <w:tc>
          <w:tcPr>
            <w:tcW w:w="666" w:type="dxa"/>
            <w:tcBorders>
              <w:top w:val="nil"/>
              <w:left w:val="nil"/>
              <w:bottom w:val="nil"/>
              <w:right w:val="nil"/>
            </w:tcBorders>
            <w:shd w:val="clear" w:color="auto" w:fill="auto"/>
            <w:noWrap/>
            <w:vAlign w:val="bottom"/>
            <w:hideMark/>
          </w:tcPr>
          <w:p w14:paraId="39B7673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-38%</w:t>
            </w:r>
          </w:p>
        </w:tc>
        <w:tc>
          <w:tcPr>
            <w:tcW w:w="702" w:type="dxa"/>
            <w:tcBorders>
              <w:top w:val="nil"/>
              <w:left w:val="single" w:sz="4" w:space="0" w:color="auto"/>
              <w:bottom w:val="nil"/>
              <w:right w:val="nil"/>
            </w:tcBorders>
            <w:shd w:val="clear" w:color="auto" w:fill="auto"/>
            <w:noWrap/>
            <w:vAlign w:val="bottom"/>
            <w:hideMark/>
          </w:tcPr>
          <w:p w14:paraId="4C00354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73</w:t>
            </w:r>
          </w:p>
        </w:tc>
        <w:tc>
          <w:tcPr>
            <w:tcW w:w="666" w:type="dxa"/>
            <w:tcBorders>
              <w:top w:val="nil"/>
              <w:left w:val="nil"/>
              <w:bottom w:val="nil"/>
              <w:right w:val="nil"/>
            </w:tcBorders>
            <w:shd w:val="clear" w:color="auto" w:fill="auto"/>
            <w:noWrap/>
            <w:vAlign w:val="bottom"/>
            <w:hideMark/>
          </w:tcPr>
          <w:p w14:paraId="3F098FE8"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273%</w:t>
            </w:r>
          </w:p>
        </w:tc>
        <w:tc>
          <w:tcPr>
            <w:tcW w:w="666" w:type="dxa"/>
            <w:tcBorders>
              <w:top w:val="nil"/>
              <w:left w:val="nil"/>
              <w:bottom w:val="nil"/>
              <w:right w:val="nil"/>
            </w:tcBorders>
            <w:shd w:val="clear" w:color="auto" w:fill="auto"/>
            <w:noWrap/>
            <w:vAlign w:val="bottom"/>
            <w:hideMark/>
          </w:tcPr>
          <w:p w14:paraId="6CE2955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74%</w:t>
            </w:r>
          </w:p>
        </w:tc>
        <w:tc>
          <w:tcPr>
            <w:tcW w:w="794" w:type="dxa"/>
            <w:tcBorders>
              <w:top w:val="nil"/>
              <w:left w:val="single" w:sz="4" w:space="0" w:color="auto"/>
              <w:bottom w:val="nil"/>
              <w:right w:val="nil"/>
            </w:tcBorders>
            <w:shd w:val="clear" w:color="auto" w:fill="auto"/>
            <w:noWrap/>
            <w:vAlign w:val="bottom"/>
            <w:hideMark/>
          </w:tcPr>
          <w:p w14:paraId="4B871CB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988</w:t>
            </w:r>
          </w:p>
        </w:tc>
        <w:tc>
          <w:tcPr>
            <w:tcW w:w="709" w:type="dxa"/>
            <w:tcBorders>
              <w:top w:val="nil"/>
              <w:left w:val="nil"/>
              <w:bottom w:val="nil"/>
              <w:right w:val="nil"/>
            </w:tcBorders>
            <w:shd w:val="clear" w:color="auto" w:fill="auto"/>
            <w:noWrap/>
            <w:vAlign w:val="bottom"/>
            <w:hideMark/>
          </w:tcPr>
          <w:p w14:paraId="19648B3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-25%</w:t>
            </w:r>
          </w:p>
        </w:tc>
      </w:tr>
      <w:tr w:rsidR="0064654E" w:rsidRPr="0064654E" w14:paraId="07FD28B1" w14:textId="77777777" w:rsidTr="0064654E">
        <w:trPr>
          <w:trHeight w:val="20"/>
        </w:trPr>
        <w:tc>
          <w:tcPr>
            <w:tcW w:w="1418" w:type="dxa"/>
            <w:tcBorders>
              <w:top w:val="nil"/>
              <w:left w:val="nil"/>
              <w:bottom w:val="nil"/>
              <w:right w:val="nil"/>
            </w:tcBorders>
            <w:shd w:val="clear" w:color="000000" w:fill="D9D9D9"/>
            <w:noWrap/>
            <w:vAlign w:val="bottom"/>
            <w:hideMark/>
          </w:tcPr>
          <w:p w14:paraId="18CC3274"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长三角</w:t>
            </w:r>
          </w:p>
        </w:tc>
        <w:tc>
          <w:tcPr>
            <w:tcW w:w="993" w:type="dxa"/>
            <w:tcBorders>
              <w:top w:val="nil"/>
              <w:left w:val="single" w:sz="4" w:space="0" w:color="auto"/>
              <w:bottom w:val="nil"/>
              <w:right w:val="nil"/>
            </w:tcBorders>
            <w:shd w:val="clear" w:color="000000" w:fill="D9D9D9"/>
            <w:noWrap/>
            <w:vAlign w:val="bottom"/>
            <w:hideMark/>
          </w:tcPr>
          <w:p w14:paraId="6CB855D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1,995,191</w:t>
            </w:r>
          </w:p>
        </w:tc>
        <w:tc>
          <w:tcPr>
            <w:tcW w:w="708" w:type="dxa"/>
            <w:tcBorders>
              <w:top w:val="nil"/>
              <w:left w:val="nil"/>
              <w:bottom w:val="nil"/>
              <w:right w:val="nil"/>
            </w:tcBorders>
            <w:shd w:val="clear" w:color="000000" w:fill="D9D9D9"/>
            <w:noWrap/>
            <w:vAlign w:val="bottom"/>
            <w:hideMark/>
          </w:tcPr>
          <w:p w14:paraId="76C31BA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18%</w:t>
            </w:r>
          </w:p>
        </w:tc>
        <w:tc>
          <w:tcPr>
            <w:tcW w:w="851" w:type="dxa"/>
            <w:tcBorders>
              <w:top w:val="nil"/>
              <w:left w:val="nil"/>
              <w:bottom w:val="nil"/>
              <w:right w:val="nil"/>
            </w:tcBorders>
            <w:shd w:val="clear" w:color="000000" w:fill="D9D9D9"/>
            <w:noWrap/>
            <w:vAlign w:val="bottom"/>
            <w:hideMark/>
          </w:tcPr>
          <w:p w14:paraId="3608FF8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-13%</w:t>
            </w:r>
          </w:p>
        </w:tc>
        <w:tc>
          <w:tcPr>
            <w:tcW w:w="711" w:type="dxa"/>
            <w:tcBorders>
              <w:top w:val="nil"/>
              <w:left w:val="single" w:sz="4" w:space="0" w:color="auto"/>
              <w:bottom w:val="nil"/>
              <w:right w:val="nil"/>
            </w:tcBorders>
            <w:shd w:val="clear" w:color="000000" w:fill="D9D9D9"/>
            <w:noWrap/>
            <w:vAlign w:val="bottom"/>
            <w:hideMark/>
          </w:tcPr>
          <w:p w14:paraId="123FD5DB"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7,101</w:t>
            </w:r>
          </w:p>
        </w:tc>
        <w:tc>
          <w:tcPr>
            <w:tcW w:w="756" w:type="dxa"/>
            <w:tcBorders>
              <w:top w:val="nil"/>
              <w:left w:val="nil"/>
              <w:bottom w:val="nil"/>
              <w:right w:val="nil"/>
            </w:tcBorders>
            <w:shd w:val="clear" w:color="000000" w:fill="D9D9D9"/>
            <w:noWrap/>
            <w:vAlign w:val="bottom"/>
            <w:hideMark/>
          </w:tcPr>
          <w:p w14:paraId="35FBF70B"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183%</w:t>
            </w:r>
          </w:p>
        </w:tc>
        <w:tc>
          <w:tcPr>
            <w:tcW w:w="666" w:type="dxa"/>
            <w:tcBorders>
              <w:top w:val="nil"/>
              <w:left w:val="nil"/>
              <w:bottom w:val="nil"/>
              <w:right w:val="nil"/>
            </w:tcBorders>
            <w:shd w:val="clear" w:color="000000" w:fill="D9D9D9"/>
            <w:noWrap/>
            <w:vAlign w:val="bottom"/>
            <w:hideMark/>
          </w:tcPr>
          <w:p w14:paraId="1E413B9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-24%</w:t>
            </w:r>
          </w:p>
        </w:tc>
        <w:tc>
          <w:tcPr>
            <w:tcW w:w="702" w:type="dxa"/>
            <w:tcBorders>
              <w:top w:val="nil"/>
              <w:left w:val="single" w:sz="4" w:space="0" w:color="auto"/>
              <w:bottom w:val="nil"/>
              <w:right w:val="nil"/>
            </w:tcBorders>
            <w:shd w:val="clear" w:color="000000" w:fill="D9D9D9"/>
            <w:noWrap/>
            <w:vAlign w:val="bottom"/>
            <w:hideMark/>
          </w:tcPr>
          <w:p w14:paraId="4797B41F"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955</w:t>
            </w:r>
          </w:p>
        </w:tc>
        <w:tc>
          <w:tcPr>
            <w:tcW w:w="666" w:type="dxa"/>
            <w:tcBorders>
              <w:top w:val="nil"/>
              <w:left w:val="nil"/>
              <w:bottom w:val="nil"/>
              <w:right w:val="nil"/>
            </w:tcBorders>
            <w:shd w:val="clear" w:color="000000" w:fill="D9D9D9"/>
            <w:noWrap/>
            <w:vAlign w:val="bottom"/>
            <w:hideMark/>
          </w:tcPr>
          <w:p w14:paraId="21E5DFC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31%</w:t>
            </w:r>
          </w:p>
        </w:tc>
        <w:tc>
          <w:tcPr>
            <w:tcW w:w="666" w:type="dxa"/>
            <w:tcBorders>
              <w:top w:val="nil"/>
              <w:left w:val="nil"/>
              <w:bottom w:val="nil"/>
              <w:right w:val="nil"/>
            </w:tcBorders>
            <w:shd w:val="clear" w:color="000000" w:fill="D9D9D9"/>
            <w:noWrap/>
            <w:vAlign w:val="bottom"/>
            <w:hideMark/>
          </w:tcPr>
          <w:p w14:paraId="0AC7B3D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w:t>
            </w:r>
          </w:p>
        </w:tc>
        <w:tc>
          <w:tcPr>
            <w:tcW w:w="794" w:type="dxa"/>
            <w:tcBorders>
              <w:top w:val="nil"/>
              <w:left w:val="single" w:sz="4" w:space="0" w:color="auto"/>
              <w:bottom w:val="nil"/>
              <w:right w:val="nil"/>
            </w:tcBorders>
            <w:shd w:val="clear" w:color="000000" w:fill="D9D9D9"/>
            <w:noWrap/>
            <w:vAlign w:val="bottom"/>
            <w:hideMark/>
          </w:tcPr>
          <w:p w14:paraId="2A49DB1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16,456</w:t>
            </w:r>
          </w:p>
        </w:tc>
        <w:tc>
          <w:tcPr>
            <w:tcW w:w="709" w:type="dxa"/>
            <w:tcBorders>
              <w:top w:val="nil"/>
              <w:left w:val="nil"/>
              <w:bottom w:val="nil"/>
              <w:right w:val="nil"/>
            </w:tcBorders>
            <w:shd w:val="clear" w:color="000000" w:fill="D9D9D9"/>
            <w:noWrap/>
            <w:vAlign w:val="bottom"/>
            <w:hideMark/>
          </w:tcPr>
          <w:p w14:paraId="6E67322F"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-29%</w:t>
            </w:r>
          </w:p>
        </w:tc>
      </w:tr>
      <w:tr w:rsidR="0064654E" w:rsidRPr="0064654E" w14:paraId="19D6CBE0" w14:textId="77777777" w:rsidTr="0064654E">
        <w:trPr>
          <w:trHeight w:val="20"/>
        </w:trPr>
        <w:tc>
          <w:tcPr>
            <w:tcW w:w="1418" w:type="dxa"/>
            <w:tcBorders>
              <w:top w:val="nil"/>
              <w:left w:val="nil"/>
              <w:bottom w:val="nil"/>
              <w:right w:val="nil"/>
            </w:tcBorders>
            <w:shd w:val="clear" w:color="auto" w:fill="auto"/>
            <w:noWrap/>
            <w:vAlign w:val="bottom"/>
            <w:hideMark/>
          </w:tcPr>
          <w:p w14:paraId="160ECC45"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广州</w:t>
            </w:r>
          </w:p>
        </w:tc>
        <w:tc>
          <w:tcPr>
            <w:tcW w:w="993" w:type="dxa"/>
            <w:tcBorders>
              <w:top w:val="nil"/>
              <w:left w:val="single" w:sz="4" w:space="0" w:color="auto"/>
              <w:bottom w:val="nil"/>
              <w:right w:val="nil"/>
            </w:tcBorders>
            <w:shd w:val="clear" w:color="auto" w:fill="auto"/>
            <w:noWrap/>
            <w:vAlign w:val="bottom"/>
            <w:hideMark/>
          </w:tcPr>
          <w:p w14:paraId="50BF2ED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206,083</w:t>
            </w:r>
          </w:p>
        </w:tc>
        <w:tc>
          <w:tcPr>
            <w:tcW w:w="708" w:type="dxa"/>
            <w:tcBorders>
              <w:top w:val="nil"/>
              <w:left w:val="nil"/>
              <w:bottom w:val="nil"/>
              <w:right w:val="nil"/>
            </w:tcBorders>
            <w:shd w:val="clear" w:color="auto" w:fill="auto"/>
            <w:noWrap/>
            <w:vAlign w:val="bottom"/>
            <w:hideMark/>
          </w:tcPr>
          <w:p w14:paraId="517585D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16%</w:t>
            </w:r>
          </w:p>
        </w:tc>
        <w:tc>
          <w:tcPr>
            <w:tcW w:w="851" w:type="dxa"/>
            <w:tcBorders>
              <w:top w:val="nil"/>
              <w:left w:val="nil"/>
              <w:bottom w:val="nil"/>
              <w:right w:val="nil"/>
            </w:tcBorders>
            <w:shd w:val="clear" w:color="auto" w:fill="auto"/>
            <w:noWrap/>
            <w:vAlign w:val="bottom"/>
            <w:hideMark/>
          </w:tcPr>
          <w:p w14:paraId="249B58E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-24%</w:t>
            </w:r>
          </w:p>
        </w:tc>
        <w:tc>
          <w:tcPr>
            <w:tcW w:w="711" w:type="dxa"/>
            <w:tcBorders>
              <w:top w:val="nil"/>
              <w:left w:val="single" w:sz="4" w:space="0" w:color="auto"/>
              <w:bottom w:val="nil"/>
              <w:right w:val="nil"/>
            </w:tcBorders>
            <w:shd w:val="clear" w:color="auto" w:fill="auto"/>
            <w:noWrap/>
            <w:vAlign w:val="bottom"/>
            <w:hideMark/>
          </w:tcPr>
          <w:p w14:paraId="76AD5AD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624</w:t>
            </w:r>
          </w:p>
        </w:tc>
        <w:tc>
          <w:tcPr>
            <w:tcW w:w="756" w:type="dxa"/>
            <w:tcBorders>
              <w:top w:val="nil"/>
              <w:left w:val="nil"/>
              <w:bottom w:val="nil"/>
              <w:right w:val="nil"/>
            </w:tcBorders>
            <w:shd w:val="clear" w:color="auto" w:fill="auto"/>
            <w:noWrap/>
            <w:vAlign w:val="bottom"/>
            <w:hideMark/>
          </w:tcPr>
          <w:p w14:paraId="7382152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258%</w:t>
            </w:r>
          </w:p>
        </w:tc>
        <w:tc>
          <w:tcPr>
            <w:tcW w:w="666" w:type="dxa"/>
            <w:tcBorders>
              <w:top w:val="nil"/>
              <w:left w:val="nil"/>
              <w:bottom w:val="nil"/>
              <w:right w:val="nil"/>
            </w:tcBorders>
            <w:shd w:val="clear" w:color="auto" w:fill="auto"/>
            <w:noWrap/>
            <w:vAlign w:val="bottom"/>
            <w:hideMark/>
          </w:tcPr>
          <w:p w14:paraId="6071BA7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-35%</w:t>
            </w:r>
          </w:p>
        </w:tc>
        <w:tc>
          <w:tcPr>
            <w:tcW w:w="702" w:type="dxa"/>
            <w:tcBorders>
              <w:top w:val="nil"/>
              <w:left w:val="single" w:sz="4" w:space="0" w:color="auto"/>
              <w:bottom w:val="nil"/>
              <w:right w:val="nil"/>
            </w:tcBorders>
            <w:shd w:val="clear" w:color="auto" w:fill="auto"/>
            <w:noWrap/>
            <w:vAlign w:val="bottom"/>
            <w:hideMark/>
          </w:tcPr>
          <w:p w14:paraId="060ACCC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49</w:t>
            </w:r>
          </w:p>
        </w:tc>
        <w:tc>
          <w:tcPr>
            <w:tcW w:w="666" w:type="dxa"/>
            <w:tcBorders>
              <w:top w:val="nil"/>
              <w:left w:val="nil"/>
              <w:bottom w:val="nil"/>
              <w:right w:val="nil"/>
            </w:tcBorders>
            <w:shd w:val="clear" w:color="auto" w:fill="auto"/>
            <w:noWrap/>
            <w:vAlign w:val="bottom"/>
            <w:hideMark/>
          </w:tcPr>
          <w:p w14:paraId="675EE9E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96%</w:t>
            </w:r>
          </w:p>
        </w:tc>
        <w:tc>
          <w:tcPr>
            <w:tcW w:w="666" w:type="dxa"/>
            <w:tcBorders>
              <w:top w:val="nil"/>
              <w:left w:val="nil"/>
              <w:bottom w:val="nil"/>
              <w:right w:val="nil"/>
            </w:tcBorders>
            <w:shd w:val="clear" w:color="auto" w:fill="auto"/>
            <w:noWrap/>
            <w:vAlign w:val="bottom"/>
            <w:hideMark/>
          </w:tcPr>
          <w:p w14:paraId="3F40F7B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-36%</w:t>
            </w:r>
          </w:p>
        </w:tc>
        <w:tc>
          <w:tcPr>
            <w:tcW w:w="794" w:type="dxa"/>
            <w:tcBorders>
              <w:top w:val="nil"/>
              <w:left w:val="single" w:sz="4" w:space="0" w:color="auto"/>
              <w:bottom w:val="nil"/>
              <w:right w:val="nil"/>
            </w:tcBorders>
            <w:shd w:val="clear" w:color="auto" w:fill="auto"/>
            <w:noWrap/>
            <w:vAlign w:val="bottom"/>
            <w:hideMark/>
          </w:tcPr>
          <w:p w14:paraId="3A6B564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1,152</w:t>
            </w:r>
          </w:p>
        </w:tc>
        <w:tc>
          <w:tcPr>
            <w:tcW w:w="709" w:type="dxa"/>
            <w:tcBorders>
              <w:top w:val="nil"/>
              <w:left w:val="nil"/>
              <w:bottom w:val="nil"/>
              <w:right w:val="nil"/>
            </w:tcBorders>
            <w:shd w:val="clear" w:color="auto" w:fill="auto"/>
            <w:noWrap/>
            <w:vAlign w:val="bottom"/>
            <w:hideMark/>
          </w:tcPr>
          <w:p w14:paraId="42D8FFB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-41%</w:t>
            </w:r>
          </w:p>
        </w:tc>
      </w:tr>
      <w:tr w:rsidR="0064654E" w:rsidRPr="0064654E" w14:paraId="356F66DE" w14:textId="77777777" w:rsidTr="0064654E">
        <w:trPr>
          <w:trHeight w:val="20"/>
        </w:trPr>
        <w:tc>
          <w:tcPr>
            <w:tcW w:w="1418" w:type="dxa"/>
            <w:tcBorders>
              <w:top w:val="nil"/>
              <w:left w:val="nil"/>
              <w:bottom w:val="nil"/>
              <w:right w:val="nil"/>
            </w:tcBorders>
            <w:shd w:val="clear" w:color="auto" w:fill="auto"/>
            <w:noWrap/>
            <w:vAlign w:val="bottom"/>
            <w:hideMark/>
          </w:tcPr>
          <w:p w14:paraId="60581349"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深圳</w:t>
            </w:r>
          </w:p>
        </w:tc>
        <w:tc>
          <w:tcPr>
            <w:tcW w:w="993" w:type="dxa"/>
            <w:tcBorders>
              <w:top w:val="nil"/>
              <w:left w:val="single" w:sz="4" w:space="0" w:color="auto"/>
              <w:bottom w:val="nil"/>
              <w:right w:val="nil"/>
            </w:tcBorders>
            <w:shd w:val="clear" w:color="auto" w:fill="auto"/>
            <w:noWrap/>
            <w:vAlign w:val="bottom"/>
            <w:hideMark/>
          </w:tcPr>
          <w:p w14:paraId="2DE8B93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68,391</w:t>
            </w:r>
          </w:p>
        </w:tc>
        <w:tc>
          <w:tcPr>
            <w:tcW w:w="708" w:type="dxa"/>
            <w:tcBorders>
              <w:top w:val="nil"/>
              <w:left w:val="nil"/>
              <w:bottom w:val="nil"/>
              <w:right w:val="nil"/>
            </w:tcBorders>
            <w:shd w:val="clear" w:color="auto" w:fill="auto"/>
            <w:noWrap/>
            <w:vAlign w:val="bottom"/>
            <w:hideMark/>
          </w:tcPr>
          <w:p w14:paraId="5416BA8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w:t>
            </w:r>
          </w:p>
        </w:tc>
        <w:tc>
          <w:tcPr>
            <w:tcW w:w="851" w:type="dxa"/>
            <w:tcBorders>
              <w:top w:val="nil"/>
              <w:left w:val="nil"/>
              <w:bottom w:val="nil"/>
              <w:right w:val="nil"/>
            </w:tcBorders>
            <w:shd w:val="clear" w:color="auto" w:fill="auto"/>
            <w:noWrap/>
            <w:vAlign w:val="bottom"/>
            <w:hideMark/>
          </w:tcPr>
          <w:p w14:paraId="06FE28A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w:t>
            </w:r>
          </w:p>
        </w:tc>
        <w:tc>
          <w:tcPr>
            <w:tcW w:w="711" w:type="dxa"/>
            <w:tcBorders>
              <w:top w:val="nil"/>
              <w:left w:val="single" w:sz="4" w:space="0" w:color="auto"/>
              <w:bottom w:val="nil"/>
              <w:right w:val="nil"/>
            </w:tcBorders>
            <w:shd w:val="clear" w:color="auto" w:fill="auto"/>
            <w:noWrap/>
            <w:vAlign w:val="bottom"/>
            <w:hideMark/>
          </w:tcPr>
          <w:p w14:paraId="5F6977B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332</w:t>
            </w:r>
          </w:p>
        </w:tc>
        <w:tc>
          <w:tcPr>
            <w:tcW w:w="756" w:type="dxa"/>
            <w:tcBorders>
              <w:top w:val="nil"/>
              <w:left w:val="nil"/>
              <w:bottom w:val="nil"/>
              <w:right w:val="nil"/>
            </w:tcBorders>
            <w:shd w:val="clear" w:color="auto" w:fill="auto"/>
            <w:noWrap/>
            <w:vAlign w:val="bottom"/>
            <w:hideMark/>
          </w:tcPr>
          <w:p w14:paraId="6C21748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183%</w:t>
            </w:r>
          </w:p>
        </w:tc>
        <w:tc>
          <w:tcPr>
            <w:tcW w:w="666" w:type="dxa"/>
            <w:tcBorders>
              <w:top w:val="nil"/>
              <w:left w:val="nil"/>
              <w:bottom w:val="nil"/>
              <w:right w:val="nil"/>
            </w:tcBorders>
            <w:shd w:val="clear" w:color="auto" w:fill="auto"/>
            <w:noWrap/>
            <w:vAlign w:val="bottom"/>
            <w:hideMark/>
          </w:tcPr>
          <w:p w14:paraId="5A81285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w:t>
            </w:r>
          </w:p>
        </w:tc>
        <w:tc>
          <w:tcPr>
            <w:tcW w:w="702" w:type="dxa"/>
            <w:tcBorders>
              <w:top w:val="nil"/>
              <w:left w:val="single" w:sz="4" w:space="0" w:color="auto"/>
              <w:bottom w:val="nil"/>
              <w:right w:val="nil"/>
            </w:tcBorders>
            <w:shd w:val="clear" w:color="auto" w:fill="auto"/>
            <w:noWrap/>
            <w:vAlign w:val="bottom"/>
            <w:hideMark/>
          </w:tcPr>
          <w:p w14:paraId="27F5EA8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41</w:t>
            </w:r>
          </w:p>
        </w:tc>
        <w:tc>
          <w:tcPr>
            <w:tcW w:w="666" w:type="dxa"/>
            <w:tcBorders>
              <w:top w:val="nil"/>
              <w:left w:val="nil"/>
              <w:bottom w:val="nil"/>
              <w:right w:val="nil"/>
            </w:tcBorders>
            <w:shd w:val="clear" w:color="auto" w:fill="auto"/>
            <w:noWrap/>
            <w:vAlign w:val="bottom"/>
            <w:hideMark/>
          </w:tcPr>
          <w:p w14:paraId="2032EAC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56%</w:t>
            </w:r>
          </w:p>
        </w:tc>
        <w:tc>
          <w:tcPr>
            <w:tcW w:w="666" w:type="dxa"/>
            <w:tcBorders>
              <w:top w:val="nil"/>
              <w:left w:val="nil"/>
              <w:bottom w:val="nil"/>
              <w:right w:val="nil"/>
            </w:tcBorders>
            <w:shd w:val="clear" w:color="auto" w:fill="auto"/>
            <w:noWrap/>
            <w:vAlign w:val="bottom"/>
            <w:hideMark/>
          </w:tcPr>
          <w:p w14:paraId="5C6499F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w:t>
            </w:r>
          </w:p>
        </w:tc>
        <w:tc>
          <w:tcPr>
            <w:tcW w:w="794" w:type="dxa"/>
            <w:tcBorders>
              <w:top w:val="nil"/>
              <w:left w:val="single" w:sz="4" w:space="0" w:color="auto"/>
              <w:bottom w:val="nil"/>
              <w:right w:val="nil"/>
            </w:tcBorders>
            <w:shd w:val="clear" w:color="auto" w:fill="auto"/>
            <w:noWrap/>
            <w:vAlign w:val="bottom"/>
            <w:hideMark/>
          </w:tcPr>
          <w:p w14:paraId="1A72BCB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736</w:t>
            </w:r>
          </w:p>
        </w:tc>
        <w:tc>
          <w:tcPr>
            <w:tcW w:w="709" w:type="dxa"/>
            <w:tcBorders>
              <w:top w:val="nil"/>
              <w:left w:val="nil"/>
              <w:bottom w:val="nil"/>
              <w:right w:val="nil"/>
            </w:tcBorders>
            <w:shd w:val="clear" w:color="auto" w:fill="auto"/>
            <w:noWrap/>
            <w:vAlign w:val="bottom"/>
            <w:hideMark/>
          </w:tcPr>
          <w:p w14:paraId="3EBEB69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w:t>
            </w:r>
          </w:p>
        </w:tc>
      </w:tr>
      <w:tr w:rsidR="0064654E" w:rsidRPr="0064654E" w14:paraId="23EA003C" w14:textId="77777777" w:rsidTr="0064654E">
        <w:trPr>
          <w:trHeight w:val="20"/>
        </w:trPr>
        <w:tc>
          <w:tcPr>
            <w:tcW w:w="1418" w:type="dxa"/>
            <w:tcBorders>
              <w:top w:val="nil"/>
              <w:left w:val="nil"/>
              <w:bottom w:val="nil"/>
              <w:right w:val="nil"/>
            </w:tcBorders>
            <w:shd w:val="clear" w:color="auto" w:fill="auto"/>
            <w:noWrap/>
            <w:vAlign w:val="bottom"/>
            <w:hideMark/>
          </w:tcPr>
          <w:p w14:paraId="0DCA2C57"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福州</w:t>
            </w:r>
          </w:p>
        </w:tc>
        <w:tc>
          <w:tcPr>
            <w:tcW w:w="993" w:type="dxa"/>
            <w:tcBorders>
              <w:top w:val="nil"/>
              <w:left w:val="single" w:sz="4" w:space="0" w:color="auto"/>
              <w:bottom w:val="nil"/>
              <w:right w:val="nil"/>
            </w:tcBorders>
            <w:shd w:val="clear" w:color="auto" w:fill="auto"/>
            <w:noWrap/>
            <w:vAlign w:val="bottom"/>
            <w:hideMark/>
          </w:tcPr>
          <w:p w14:paraId="2013C95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40,058</w:t>
            </w:r>
          </w:p>
        </w:tc>
        <w:tc>
          <w:tcPr>
            <w:tcW w:w="708" w:type="dxa"/>
            <w:tcBorders>
              <w:top w:val="nil"/>
              <w:left w:val="nil"/>
              <w:bottom w:val="nil"/>
              <w:right w:val="nil"/>
            </w:tcBorders>
            <w:shd w:val="clear" w:color="auto" w:fill="auto"/>
            <w:noWrap/>
            <w:vAlign w:val="bottom"/>
            <w:hideMark/>
          </w:tcPr>
          <w:p w14:paraId="321FF03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-26%</w:t>
            </w:r>
          </w:p>
        </w:tc>
        <w:tc>
          <w:tcPr>
            <w:tcW w:w="851" w:type="dxa"/>
            <w:tcBorders>
              <w:top w:val="nil"/>
              <w:left w:val="nil"/>
              <w:bottom w:val="nil"/>
              <w:right w:val="nil"/>
            </w:tcBorders>
            <w:shd w:val="clear" w:color="auto" w:fill="auto"/>
            <w:noWrap/>
            <w:vAlign w:val="bottom"/>
            <w:hideMark/>
          </w:tcPr>
          <w:p w14:paraId="0E5021A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-19%</w:t>
            </w:r>
          </w:p>
        </w:tc>
        <w:tc>
          <w:tcPr>
            <w:tcW w:w="711" w:type="dxa"/>
            <w:tcBorders>
              <w:top w:val="nil"/>
              <w:left w:val="single" w:sz="4" w:space="0" w:color="auto"/>
              <w:bottom w:val="nil"/>
              <w:right w:val="nil"/>
            </w:tcBorders>
            <w:shd w:val="clear" w:color="auto" w:fill="auto"/>
            <w:noWrap/>
            <w:vAlign w:val="bottom"/>
            <w:hideMark/>
          </w:tcPr>
          <w:p w14:paraId="33273D0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189</w:t>
            </w:r>
          </w:p>
        </w:tc>
        <w:tc>
          <w:tcPr>
            <w:tcW w:w="756" w:type="dxa"/>
            <w:tcBorders>
              <w:top w:val="nil"/>
              <w:left w:val="nil"/>
              <w:bottom w:val="nil"/>
              <w:right w:val="nil"/>
            </w:tcBorders>
            <w:shd w:val="clear" w:color="auto" w:fill="auto"/>
            <w:noWrap/>
            <w:vAlign w:val="bottom"/>
            <w:hideMark/>
          </w:tcPr>
          <w:p w14:paraId="035C6AE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13%</w:t>
            </w:r>
          </w:p>
        </w:tc>
        <w:tc>
          <w:tcPr>
            <w:tcW w:w="666" w:type="dxa"/>
            <w:tcBorders>
              <w:top w:val="nil"/>
              <w:left w:val="nil"/>
              <w:bottom w:val="nil"/>
              <w:right w:val="nil"/>
            </w:tcBorders>
            <w:shd w:val="clear" w:color="auto" w:fill="auto"/>
            <w:noWrap/>
            <w:vAlign w:val="bottom"/>
            <w:hideMark/>
          </w:tcPr>
          <w:p w14:paraId="0B7E702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-20%</w:t>
            </w:r>
          </w:p>
        </w:tc>
        <w:tc>
          <w:tcPr>
            <w:tcW w:w="702" w:type="dxa"/>
            <w:tcBorders>
              <w:top w:val="nil"/>
              <w:left w:val="single" w:sz="4" w:space="0" w:color="auto"/>
              <w:bottom w:val="nil"/>
              <w:right w:val="nil"/>
            </w:tcBorders>
            <w:shd w:val="clear" w:color="auto" w:fill="auto"/>
            <w:noWrap/>
            <w:vAlign w:val="bottom"/>
            <w:hideMark/>
          </w:tcPr>
          <w:p w14:paraId="0CA10CD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w:t>
            </w:r>
          </w:p>
        </w:tc>
        <w:tc>
          <w:tcPr>
            <w:tcW w:w="666" w:type="dxa"/>
            <w:tcBorders>
              <w:top w:val="nil"/>
              <w:left w:val="nil"/>
              <w:bottom w:val="nil"/>
              <w:right w:val="nil"/>
            </w:tcBorders>
            <w:shd w:val="clear" w:color="auto" w:fill="auto"/>
            <w:noWrap/>
            <w:vAlign w:val="bottom"/>
            <w:hideMark/>
          </w:tcPr>
          <w:p w14:paraId="19756B7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-30%</w:t>
            </w:r>
          </w:p>
        </w:tc>
        <w:tc>
          <w:tcPr>
            <w:tcW w:w="666" w:type="dxa"/>
            <w:tcBorders>
              <w:top w:val="nil"/>
              <w:left w:val="nil"/>
              <w:bottom w:val="nil"/>
              <w:right w:val="nil"/>
            </w:tcBorders>
            <w:shd w:val="clear" w:color="auto" w:fill="auto"/>
            <w:noWrap/>
            <w:vAlign w:val="bottom"/>
            <w:hideMark/>
          </w:tcPr>
          <w:p w14:paraId="48A7ACC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-25%</w:t>
            </w:r>
          </w:p>
        </w:tc>
        <w:tc>
          <w:tcPr>
            <w:tcW w:w="794" w:type="dxa"/>
            <w:tcBorders>
              <w:top w:val="nil"/>
              <w:left w:val="single" w:sz="4" w:space="0" w:color="auto"/>
              <w:bottom w:val="nil"/>
              <w:right w:val="nil"/>
            </w:tcBorders>
            <w:shd w:val="clear" w:color="auto" w:fill="auto"/>
            <w:noWrap/>
            <w:vAlign w:val="bottom"/>
            <w:hideMark/>
          </w:tcPr>
          <w:p w14:paraId="639B7F1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493</w:t>
            </w:r>
          </w:p>
        </w:tc>
        <w:tc>
          <w:tcPr>
            <w:tcW w:w="709" w:type="dxa"/>
            <w:tcBorders>
              <w:top w:val="nil"/>
              <w:left w:val="nil"/>
              <w:bottom w:val="nil"/>
              <w:right w:val="nil"/>
            </w:tcBorders>
            <w:shd w:val="clear" w:color="auto" w:fill="auto"/>
            <w:noWrap/>
            <w:vAlign w:val="bottom"/>
            <w:hideMark/>
          </w:tcPr>
          <w:p w14:paraId="5F6795C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-28%</w:t>
            </w:r>
          </w:p>
        </w:tc>
      </w:tr>
      <w:tr w:rsidR="0064654E" w:rsidRPr="0064654E" w14:paraId="4AB740AA" w14:textId="77777777" w:rsidTr="0064654E">
        <w:trPr>
          <w:trHeight w:val="20"/>
        </w:trPr>
        <w:tc>
          <w:tcPr>
            <w:tcW w:w="1418" w:type="dxa"/>
            <w:tcBorders>
              <w:top w:val="nil"/>
              <w:left w:val="nil"/>
              <w:bottom w:val="nil"/>
              <w:right w:val="nil"/>
            </w:tcBorders>
            <w:shd w:val="clear" w:color="auto" w:fill="auto"/>
            <w:noWrap/>
            <w:vAlign w:val="bottom"/>
            <w:hideMark/>
          </w:tcPr>
          <w:p w14:paraId="6317CAD2"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东莞</w:t>
            </w:r>
          </w:p>
        </w:tc>
        <w:tc>
          <w:tcPr>
            <w:tcW w:w="993" w:type="dxa"/>
            <w:tcBorders>
              <w:top w:val="nil"/>
              <w:left w:val="single" w:sz="4" w:space="0" w:color="auto"/>
              <w:bottom w:val="nil"/>
              <w:right w:val="nil"/>
            </w:tcBorders>
            <w:shd w:val="clear" w:color="auto" w:fill="auto"/>
            <w:noWrap/>
            <w:vAlign w:val="bottom"/>
            <w:hideMark/>
          </w:tcPr>
          <w:p w14:paraId="22CCD00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101,694</w:t>
            </w:r>
          </w:p>
        </w:tc>
        <w:tc>
          <w:tcPr>
            <w:tcW w:w="708" w:type="dxa"/>
            <w:tcBorders>
              <w:top w:val="nil"/>
              <w:left w:val="nil"/>
              <w:bottom w:val="nil"/>
              <w:right w:val="nil"/>
            </w:tcBorders>
            <w:shd w:val="clear" w:color="auto" w:fill="auto"/>
            <w:noWrap/>
            <w:vAlign w:val="bottom"/>
            <w:hideMark/>
          </w:tcPr>
          <w:p w14:paraId="2654778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w:t>
            </w:r>
          </w:p>
        </w:tc>
        <w:tc>
          <w:tcPr>
            <w:tcW w:w="851" w:type="dxa"/>
            <w:tcBorders>
              <w:top w:val="nil"/>
              <w:left w:val="nil"/>
              <w:bottom w:val="nil"/>
              <w:right w:val="nil"/>
            </w:tcBorders>
            <w:shd w:val="clear" w:color="auto" w:fill="auto"/>
            <w:noWrap/>
            <w:vAlign w:val="bottom"/>
            <w:hideMark/>
          </w:tcPr>
          <w:p w14:paraId="117B371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w:t>
            </w:r>
          </w:p>
        </w:tc>
        <w:tc>
          <w:tcPr>
            <w:tcW w:w="711" w:type="dxa"/>
            <w:tcBorders>
              <w:top w:val="nil"/>
              <w:left w:val="single" w:sz="4" w:space="0" w:color="auto"/>
              <w:bottom w:val="nil"/>
              <w:right w:val="nil"/>
            </w:tcBorders>
            <w:shd w:val="clear" w:color="auto" w:fill="auto"/>
            <w:noWrap/>
            <w:vAlign w:val="bottom"/>
            <w:hideMark/>
          </w:tcPr>
          <w:p w14:paraId="3EFE13A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326</w:t>
            </w:r>
          </w:p>
        </w:tc>
        <w:tc>
          <w:tcPr>
            <w:tcW w:w="756" w:type="dxa"/>
            <w:tcBorders>
              <w:top w:val="nil"/>
              <w:left w:val="nil"/>
              <w:bottom w:val="nil"/>
              <w:right w:val="nil"/>
            </w:tcBorders>
            <w:shd w:val="clear" w:color="auto" w:fill="auto"/>
            <w:noWrap/>
            <w:vAlign w:val="bottom"/>
            <w:hideMark/>
          </w:tcPr>
          <w:p w14:paraId="344599E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379%</w:t>
            </w:r>
          </w:p>
        </w:tc>
        <w:tc>
          <w:tcPr>
            <w:tcW w:w="666" w:type="dxa"/>
            <w:tcBorders>
              <w:top w:val="nil"/>
              <w:left w:val="nil"/>
              <w:bottom w:val="nil"/>
              <w:right w:val="nil"/>
            </w:tcBorders>
            <w:shd w:val="clear" w:color="auto" w:fill="auto"/>
            <w:noWrap/>
            <w:vAlign w:val="bottom"/>
            <w:hideMark/>
          </w:tcPr>
          <w:p w14:paraId="6D2E2CC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w:t>
            </w:r>
          </w:p>
        </w:tc>
        <w:tc>
          <w:tcPr>
            <w:tcW w:w="702" w:type="dxa"/>
            <w:tcBorders>
              <w:top w:val="nil"/>
              <w:left w:val="single" w:sz="4" w:space="0" w:color="auto"/>
              <w:bottom w:val="nil"/>
              <w:right w:val="nil"/>
            </w:tcBorders>
            <w:shd w:val="clear" w:color="auto" w:fill="auto"/>
            <w:noWrap/>
            <w:vAlign w:val="bottom"/>
            <w:hideMark/>
          </w:tcPr>
          <w:p w14:paraId="1F77A8E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35</w:t>
            </w:r>
          </w:p>
        </w:tc>
        <w:tc>
          <w:tcPr>
            <w:tcW w:w="666" w:type="dxa"/>
            <w:tcBorders>
              <w:top w:val="nil"/>
              <w:left w:val="nil"/>
              <w:bottom w:val="nil"/>
              <w:right w:val="nil"/>
            </w:tcBorders>
            <w:shd w:val="clear" w:color="auto" w:fill="auto"/>
            <w:noWrap/>
            <w:vAlign w:val="bottom"/>
            <w:hideMark/>
          </w:tcPr>
          <w:p w14:paraId="4C986A9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153%</w:t>
            </w:r>
          </w:p>
        </w:tc>
        <w:tc>
          <w:tcPr>
            <w:tcW w:w="666" w:type="dxa"/>
            <w:tcBorders>
              <w:top w:val="nil"/>
              <w:left w:val="nil"/>
              <w:bottom w:val="nil"/>
              <w:right w:val="nil"/>
            </w:tcBorders>
            <w:shd w:val="clear" w:color="auto" w:fill="auto"/>
            <w:noWrap/>
            <w:vAlign w:val="bottom"/>
            <w:hideMark/>
          </w:tcPr>
          <w:p w14:paraId="0E3DB1D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w:t>
            </w:r>
          </w:p>
        </w:tc>
        <w:tc>
          <w:tcPr>
            <w:tcW w:w="794" w:type="dxa"/>
            <w:tcBorders>
              <w:top w:val="nil"/>
              <w:left w:val="single" w:sz="4" w:space="0" w:color="auto"/>
              <w:bottom w:val="nil"/>
              <w:right w:val="nil"/>
            </w:tcBorders>
            <w:shd w:val="clear" w:color="auto" w:fill="auto"/>
            <w:noWrap/>
            <w:vAlign w:val="bottom"/>
            <w:hideMark/>
          </w:tcPr>
          <w:p w14:paraId="6FDC6B8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690</w:t>
            </w:r>
          </w:p>
        </w:tc>
        <w:tc>
          <w:tcPr>
            <w:tcW w:w="709" w:type="dxa"/>
            <w:tcBorders>
              <w:top w:val="nil"/>
              <w:left w:val="nil"/>
              <w:bottom w:val="nil"/>
              <w:right w:val="nil"/>
            </w:tcBorders>
            <w:shd w:val="clear" w:color="auto" w:fill="auto"/>
            <w:noWrap/>
            <w:vAlign w:val="bottom"/>
            <w:hideMark/>
          </w:tcPr>
          <w:p w14:paraId="761625D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-26%</w:t>
            </w:r>
          </w:p>
        </w:tc>
      </w:tr>
      <w:tr w:rsidR="0064654E" w:rsidRPr="0064654E" w14:paraId="5B8C3A17" w14:textId="77777777" w:rsidTr="0064654E">
        <w:trPr>
          <w:trHeight w:val="20"/>
        </w:trPr>
        <w:tc>
          <w:tcPr>
            <w:tcW w:w="1418" w:type="dxa"/>
            <w:tcBorders>
              <w:top w:val="nil"/>
              <w:left w:val="nil"/>
              <w:bottom w:val="nil"/>
              <w:right w:val="nil"/>
            </w:tcBorders>
            <w:shd w:val="clear" w:color="auto" w:fill="auto"/>
            <w:noWrap/>
            <w:vAlign w:val="bottom"/>
            <w:hideMark/>
          </w:tcPr>
          <w:p w14:paraId="73388834"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泉州</w:t>
            </w:r>
          </w:p>
        </w:tc>
        <w:tc>
          <w:tcPr>
            <w:tcW w:w="993" w:type="dxa"/>
            <w:tcBorders>
              <w:top w:val="nil"/>
              <w:left w:val="single" w:sz="4" w:space="0" w:color="auto"/>
              <w:bottom w:val="nil"/>
              <w:right w:val="nil"/>
            </w:tcBorders>
            <w:shd w:val="clear" w:color="auto" w:fill="auto"/>
            <w:noWrap/>
            <w:vAlign w:val="bottom"/>
            <w:hideMark/>
          </w:tcPr>
          <w:p w14:paraId="5ACE39E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23,678</w:t>
            </w:r>
          </w:p>
        </w:tc>
        <w:tc>
          <w:tcPr>
            <w:tcW w:w="708" w:type="dxa"/>
            <w:tcBorders>
              <w:top w:val="nil"/>
              <w:left w:val="nil"/>
              <w:bottom w:val="nil"/>
              <w:right w:val="nil"/>
            </w:tcBorders>
            <w:shd w:val="clear" w:color="auto" w:fill="auto"/>
            <w:noWrap/>
            <w:vAlign w:val="bottom"/>
            <w:hideMark/>
          </w:tcPr>
          <w:p w14:paraId="349085C6"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-13%</w:t>
            </w:r>
          </w:p>
        </w:tc>
        <w:tc>
          <w:tcPr>
            <w:tcW w:w="851" w:type="dxa"/>
            <w:tcBorders>
              <w:top w:val="nil"/>
              <w:left w:val="nil"/>
              <w:bottom w:val="nil"/>
              <w:right w:val="nil"/>
            </w:tcBorders>
            <w:shd w:val="clear" w:color="auto" w:fill="auto"/>
            <w:noWrap/>
            <w:vAlign w:val="bottom"/>
            <w:hideMark/>
          </w:tcPr>
          <w:p w14:paraId="2768C683"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-73%</w:t>
            </w:r>
          </w:p>
        </w:tc>
        <w:tc>
          <w:tcPr>
            <w:tcW w:w="711" w:type="dxa"/>
            <w:tcBorders>
              <w:top w:val="nil"/>
              <w:left w:val="single" w:sz="4" w:space="0" w:color="auto"/>
              <w:bottom w:val="nil"/>
              <w:right w:val="nil"/>
            </w:tcBorders>
            <w:shd w:val="clear" w:color="auto" w:fill="auto"/>
            <w:noWrap/>
            <w:vAlign w:val="bottom"/>
            <w:hideMark/>
          </w:tcPr>
          <w:p w14:paraId="7994514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136</w:t>
            </w:r>
          </w:p>
        </w:tc>
        <w:tc>
          <w:tcPr>
            <w:tcW w:w="756" w:type="dxa"/>
            <w:tcBorders>
              <w:top w:val="nil"/>
              <w:left w:val="nil"/>
              <w:bottom w:val="nil"/>
              <w:right w:val="nil"/>
            </w:tcBorders>
            <w:shd w:val="clear" w:color="auto" w:fill="auto"/>
            <w:noWrap/>
            <w:vAlign w:val="bottom"/>
            <w:hideMark/>
          </w:tcPr>
          <w:p w14:paraId="49FFDC4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197%</w:t>
            </w:r>
          </w:p>
        </w:tc>
        <w:tc>
          <w:tcPr>
            <w:tcW w:w="666" w:type="dxa"/>
            <w:tcBorders>
              <w:top w:val="nil"/>
              <w:left w:val="nil"/>
              <w:bottom w:val="nil"/>
              <w:right w:val="nil"/>
            </w:tcBorders>
            <w:shd w:val="clear" w:color="auto" w:fill="auto"/>
            <w:noWrap/>
            <w:vAlign w:val="bottom"/>
            <w:hideMark/>
          </w:tcPr>
          <w:p w14:paraId="77B25972"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-61%</w:t>
            </w:r>
          </w:p>
        </w:tc>
        <w:tc>
          <w:tcPr>
            <w:tcW w:w="702" w:type="dxa"/>
            <w:tcBorders>
              <w:top w:val="nil"/>
              <w:left w:val="single" w:sz="4" w:space="0" w:color="auto"/>
              <w:bottom w:val="nil"/>
              <w:right w:val="nil"/>
            </w:tcBorders>
            <w:shd w:val="clear" w:color="auto" w:fill="auto"/>
            <w:noWrap/>
            <w:vAlign w:val="bottom"/>
            <w:hideMark/>
          </w:tcPr>
          <w:p w14:paraId="101E597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11</w:t>
            </w:r>
          </w:p>
        </w:tc>
        <w:tc>
          <w:tcPr>
            <w:tcW w:w="666" w:type="dxa"/>
            <w:tcBorders>
              <w:top w:val="nil"/>
              <w:left w:val="nil"/>
              <w:bottom w:val="nil"/>
              <w:right w:val="nil"/>
            </w:tcBorders>
            <w:shd w:val="clear" w:color="auto" w:fill="auto"/>
            <w:noWrap/>
            <w:vAlign w:val="bottom"/>
            <w:hideMark/>
          </w:tcPr>
          <w:p w14:paraId="775ABED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8%</w:t>
            </w:r>
          </w:p>
        </w:tc>
        <w:tc>
          <w:tcPr>
            <w:tcW w:w="666" w:type="dxa"/>
            <w:tcBorders>
              <w:top w:val="nil"/>
              <w:left w:val="nil"/>
              <w:bottom w:val="nil"/>
              <w:right w:val="nil"/>
            </w:tcBorders>
            <w:shd w:val="clear" w:color="auto" w:fill="auto"/>
            <w:noWrap/>
            <w:vAlign w:val="bottom"/>
            <w:hideMark/>
          </w:tcPr>
          <w:p w14:paraId="6F57EFB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-81%</w:t>
            </w:r>
          </w:p>
        </w:tc>
        <w:tc>
          <w:tcPr>
            <w:tcW w:w="794" w:type="dxa"/>
            <w:tcBorders>
              <w:top w:val="nil"/>
              <w:left w:val="single" w:sz="4" w:space="0" w:color="auto"/>
              <w:bottom w:val="nil"/>
              <w:right w:val="nil"/>
            </w:tcBorders>
            <w:shd w:val="clear" w:color="auto" w:fill="auto"/>
            <w:noWrap/>
            <w:vAlign w:val="bottom"/>
            <w:hideMark/>
          </w:tcPr>
          <w:p w14:paraId="1B93D63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359</w:t>
            </w:r>
          </w:p>
        </w:tc>
        <w:tc>
          <w:tcPr>
            <w:tcW w:w="709" w:type="dxa"/>
            <w:tcBorders>
              <w:top w:val="nil"/>
              <w:left w:val="nil"/>
              <w:bottom w:val="nil"/>
              <w:right w:val="nil"/>
            </w:tcBorders>
            <w:shd w:val="clear" w:color="auto" w:fill="auto"/>
            <w:noWrap/>
            <w:vAlign w:val="bottom"/>
            <w:hideMark/>
          </w:tcPr>
          <w:p w14:paraId="118CA46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-62%</w:t>
            </w:r>
          </w:p>
        </w:tc>
      </w:tr>
      <w:tr w:rsidR="0064654E" w:rsidRPr="0064654E" w14:paraId="0261AEB3" w14:textId="77777777" w:rsidTr="0064654E">
        <w:trPr>
          <w:trHeight w:val="20"/>
        </w:trPr>
        <w:tc>
          <w:tcPr>
            <w:tcW w:w="1418" w:type="dxa"/>
            <w:tcBorders>
              <w:top w:val="nil"/>
              <w:left w:val="nil"/>
              <w:bottom w:val="nil"/>
              <w:right w:val="nil"/>
            </w:tcBorders>
            <w:shd w:val="clear" w:color="auto" w:fill="auto"/>
            <w:noWrap/>
            <w:vAlign w:val="bottom"/>
            <w:hideMark/>
          </w:tcPr>
          <w:p w14:paraId="2D9D7E6A"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莆田</w:t>
            </w:r>
          </w:p>
        </w:tc>
        <w:tc>
          <w:tcPr>
            <w:tcW w:w="993" w:type="dxa"/>
            <w:tcBorders>
              <w:top w:val="nil"/>
              <w:left w:val="single" w:sz="4" w:space="0" w:color="auto"/>
              <w:bottom w:val="nil"/>
              <w:right w:val="nil"/>
            </w:tcBorders>
            <w:shd w:val="clear" w:color="auto" w:fill="auto"/>
            <w:noWrap/>
            <w:vAlign w:val="bottom"/>
            <w:hideMark/>
          </w:tcPr>
          <w:p w14:paraId="0E077E3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51,729</w:t>
            </w:r>
          </w:p>
        </w:tc>
        <w:tc>
          <w:tcPr>
            <w:tcW w:w="708" w:type="dxa"/>
            <w:tcBorders>
              <w:top w:val="nil"/>
              <w:left w:val="nil"/>
              <w:bottom w:val="nil"/>
              <w:right w:val="nil"/>
            </w:tcBorders>
            <w:shd w:val="clear" w:color="auto" w:fill="auto"/>
            <w:noWrap/>
            <w:vAlign w:val="bottom"/>
            <w:hideMark/>
          </w:tcPr>
          <w:p w14:paraId="5082491E"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79%</w:t>
            </w:r>
          </w:p>
        </w:tc>
        <w:tc>
          <w:tcPr>
            <w:tcW w:w="851" w:type="dxa"/>
            <w:tcBorders>
              <w:top w:val="nil"/>
              <w:left w:val="nil"/>
              <w:bottom w:val="nil"/>
              <w:right w:val="nil"/>
            </w:tcBorders>
            <w:shd w:val="clear" w:color="auto" w:fill="auto"/>
            <w:noWrap/>
            <w:vAlign w:val="bottom"/>
            <w:hideMark/>
          </w:tcPr>
          <w:p w14:paraId="313BD9C4"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95%</w:t>
            </w:r>
          </w:p>
        </w:tc>
        <w:tc>
          <w:tcPr>
            <w:tcW w:w="711" w:type="dxa"/>
            <w:tcBorders>
              <w:top w:val="nil"/>
              <w:left w:val="single" w:sz="4" w:space="0" w:color="auto"/>
              <w:bottom w:val="nil"/>
              <w:right w:val="nil"/>
            </w:tcBorders>
            <w:shd w:val="clear" w:color="auto" w:fill="auto"/>
            <w:noWrap/>
            <w:vAlign w:val="bottom"/>
            <w:hideMark/>
          </w:tcPr>
          <w:p w14:paraId="601E142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147</w:t>
            </w:r>
          </w:p>
        </w:tc>
        <w:tc>
          <w:tcPr>
            <w:tcW w:w="756" w:type="dxa"/>
            <w:tcBorders>
              <w:top w:val="nil"/>
              <w:left w:val="nil"/>
              <w:bottom w:val="nil"/>
              <w:right w:val="nil"/>
            </w:tcBorders>
            <w:shd w:val="clear" w:color="auto" w:fill="auto"/>
            <w:noWrap/>
            <w:vAlign w:val="bottom"/>
            <w:hideMark/>
          </w:tcPr>
          <w:p w14:paraId="7CF9430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110%</w:t>
            </w:r>
          </w:p>
        </w:tc>
        <w:tc>
          <w:tcPr>
            <w:tcW w:w="666" w:type="dxa"/>
            <w:tcBorders>
              <w:top w:val="nil"/>
              <w:left w:val="nil"/>
              <w:bottom w:val="nil"/>
              <w:right w:val="nil"/>
            </w:tcBorders>
            <w:shd w:val="clear" w:color="auto" w:fill="auto"/>
            <w:noWrap/>
            <w:vAlign w:val="bottom"/>
            <w:hideMark/>
          </w:tcPr>
          <w:p w14:paraId="018E9D8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38%</w:t>
            </w:r>
          </w:p>
        </w:tc>
        <w:tc>
          <w:tcPr>
            <w:tcW w:w="702" w:type="dxa"/>
            <w:tcBorders>
              <w:top w:val="nil"/>
              <w:left w:val="single" w:sz="4" w:space="0" w:color="auto"/>
              <w:bottom w:val="nil"/>
              <w:right w:val="nil"/>
            </w:tcBorders>
            <w:shd w:val="clear" w:color="auto" w:fill="auto"/>
            <w:noWrap/>
            <w:vAlign w:val="bottom"/>
            <w:hideMark/>
          </w:tcPr>
          <w:p w14:paraId="573ECA8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11</w:t>
            </w:r>
          </w:p>
        </w:tc>
        <w:tc>
          <w:tcPr>
            <w:tcW w:w="666" w:type="dxa"/>
            <w:tcBorders>
              <w:top w:val="nil"/>
              <w:left w:val="nil"/>
              <w:bottom w:val="nil"/>
              <w:right w:val="nil"/>
            </w:tcBorders>
            <w:shd w:val="clear" w:color="auto" w:fill="auto"/>
            <w:noWrap/>
            <w:vAlign w:val="bottom"/>
            <w:hideMark/>
          </w:tcPr>
          <w:p w14:paraId="1EEC0EC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-17%</w:t>
            </w:r>
          </w:p>
        </w:tc>
        <w:tc>
          <w:tcPr>
            <w:tcW w:w="666" w:type="dxa"/>
            <w:tcBorders>
              <w:top w:val="nil"/>
              <w:left w:val="nil"/>
              <w:bottom w:val="nil"/>
              <w:right w:val="nil"/>
            </w:tcBorders>
            <w:shd w:val="clear" w:color="auto" w:fill="auto"/>
            <w:noWrap/>
            <w:vAlign w:val="bottom"/>
            <w:hideMark/>
          </w:tcPr>
          <w:p w14:paraId="6100ECD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23%</w:t>
            </w:r>
          </w:p>
        </w:tc>
        <w:tc>
          <w:tcPr>
            <w:tcW w:w="794" w:type="dxa"/>
            <w:tcBorders>
              <w:top w:val="nil"/>
              <w:left w:val="single" w:sz="4" w:space="0" w:color="auto"/>
              <w:bottom w:val="nil"/>
              <w:right w:val="nil"/>
            </w:tcBorders>
            <w:shd w:val="clear" w:color="auto" w:fill="auto"/>
            <w:noWrap/>
            <w:vAlign w:val="bottom"/>
            <w:hideMark/>
          </w:tcPr>
          <w:p w14:paraId="7B8C006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309</w:t>
            </w:r>
          </w:p>
        </w:tc>
        <w:tc>
          <w:tcPr>
            <w:tcW w:w="709" w:type="dxa"/>
            <w:tcBorders>
              <w:top w:val="nil"/>
              <w:left w:val="nil"/>
              <w:bottom w:val="nil"/>
              <w:right w:val="nil"/>
            </w:tcBorders>
            <w:shd w:val="clear" w:color="auto" w:fill="auto"/>
            <w:noWrap/>
            <w:vAlign w:val="bottom"/>
            <w:hideMark/>
          </w:tcPr>
          <w:p w14:paraId="44F83DA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-26%</w:t>
            </w:r>
          </w:p>
        </w:tc>
      </w:tr>
      <w:tr w:rsidR="0064654E" w:rsidRPr="0064654E" w14:paraId="40B27A43" w14:textId="77777777" w:rsidTr="0064654E">
        <w:trPr>
          <w:trHeight w:val="20"/>
        </w:trPr>
        <w:tc>
          <w:tcPr>
            <w:tcW w:w="1418" w:type="dxa"/>
            <w:tcBorders>
              <w:top w:val="nil"/>
              <w:left w:val="nil"/>
              <w:bottom w:val="nil"/>
              <w:right w:val="nil"/>
            </w:tcBorders>
            <w:shd w:val="clear" w:color="auto" w:fill="auto"/>
            <w:noWrap/>
            <w:vAlign w:val="bottom"/>
            <w:hideMark/>
          </w:tcPr>
          <w:p w14:paraId="7877AEA3"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惠州</w:t>
            </w:r>
          </w:p>
        </w:tc>
        <w:tc>
          <w:tcPr>
            <w:tcW w:w="993" w:type="dxa"/>
            <w:tcBorders>
              <w:top w:val="nil"/>
              <w:left w:val="single" w:sz="4" w:space="0" w:color="auto"/>
              <w:bottom w:val="nil"/>
              <w:right w:val="nil"/>
            </w:tcBorders>
            <w:shd w:val="clear" w:color="auto" w:fill="auto"/>
            <w:noWrap/>
            <w:vAlign w:val="bottom"/>
            <w:hideMark/>
          </w:tcPr>
          <w:p w14:paraId="2273AA7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31,801</w:t>
            </w:r>
          </w:p>
        </w:tc>
        <w:tc>
          <w:tcPr>
            <w:tcW w:w="708" w:type="dxa"/>
            <w:tcBorders>
              <w:top w:val="nil"/>
              <w:left w:val="nil"/>
              <w:bottom w:val="nil"/>
              <w:right w:val="nil"/>
            </w:tcBorders>
            <w:shd w:val="clear" w:color="auto" w:fill="auto"/>
            <w:noWrap/>
            <w:vAlign w:val="bottom"/>
            <w:hideMark/>
          </w:tcPr>
          <w:p w14:paraId="4A5F5C6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w:t>
            </w:r>
          </w:p>
        </w:tc>
        <w:tc>
          <w:tcPr>
            <w:tcW w:w="851" w:type="dxa"/>
            <w:tcBorders>
              <w:top w:val="nil"/>
              <w:left w:val="nil"/>
              <w:bottom w:val="nil"/>
              <w:right w:val="nil"/>
            </w:tcBorders>
            <w:shd w:val="clear" w:color="auto" w:fill="auto"/>
            <w:noWrap/>
            <w:vAlign w:val="bottom"/>
            <w:hideMark/>
          </w:tcPr>
          <w:p w14:paraId="476834E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-42%</w:t>
            </w:r>
          </w:p>
        </w:tc>
        <w:tc>
          <w:tcPr>
            <w:tcW w:w="711" w:type="dxa"/>
            <w:tcBorders>
              <w:top w:val="nil"/>
              <w:left w:val="single" w:sz="4" w:space="0" w:color="auto"/>
              <w:bottom w:val="nil"/>
              <w:right w:val="nil"/>
            </w:tcBorders>
            <w:shd w:val="clear" w:color="auto" w:fill="auto"/>
            <w:noWrap/>
            <w:vAlign w:val="bottom"/>
            <w:hideMark/>
          </w:tcPr>
          <w:p w14:paraId="03C2743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144</w:t>
            </w:r>
          </w:p>
        </w:tc>
        <w:tc>
          <w:tcPr>
            <w:tcW w:w="756" w:type="dxa"/>
            <w:tcBorders>
              <w:top w:val="nil"/>
              <w:left w:val="nil"/>
              <w:bottom w:val="nil"/>
              <w:right w:val="nil"/>
            </w:tcBorders>
            <w:shd w:val="clear" w:color="auto" w:fill="auto"/>
            <w:noWrap/>
            <w:vAlign w:val="bottom"/>
            <w:hideMark/>
          </w:tcPr>
          <w:p w14:paraId="55F008F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215%</w:t>
            </w:r>
          </w:p>
        </w:tc>
        <w:tc>
          <w:tcPr>
            <w:tcW w:w="666" w:type="dxa"/>
            <w:tcBorders>
              <w:top w:val="nil"/>
              <w:left w:val="nil"/>
              <w:bottom w:val="nil"/>
              <w:right w:val="nil"/>
            </w:tcBorders>
            <w:shd w:val="clear" w:color="auto" w:fill="auto"/>
            <w:noWrap/>
            <w:vAlign w:val="bottom"/>
            <w:hideMark/>
          </w:tcPr>
          <w:p w14:paraId="7495AA8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-44%</w:t>
            </w:r>
          </w:p>
        </w:tc>
        <w:tc>
          <w:tcPr>
            <w:tcW w:w="702" w:type="dxa"/>
            <w:tcBorders>
              <w:top w:val="nil"/>
              <w:left w:val="single" w:sz="4" w:space="0" w:color="auto"/>
              <w:bottom w:val="nil"/>
              <w:right w:val="nil"/>
            </w:tcBorders>
            <w:shd w:val="clear" w:color="auto" w:fill="auto"/>
            <w:noWrap/>
            <w:vAlign w:val="bottom"/>
            <w:hideMark/>
          </w:tcPr>
          <w:p w14:paraId="2CBCB87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17</w:t>
            </w:r>
          </w:p>
        </w:tc>
        <w:tc>
          <w:tcPr>
            <w:tcW w:w="666" w:type="dxa"/>
            <w:tcBorders>
              <w:top w:val="nil"/>
              <w:left w:val="nil"/>
              <w:bottom w:val="nil"/>
              <w:right w:val="nil"/>
            </w:tcBorders>
            <w:shd w:val="clear" w:color="auto" w:fill="auto"/>
            <w:noWrap/>
            <w:vAlign w:val="bottom"/>
            <w:hideMark/>
          </w:tcPr>
          <w:p w14:paraId="5EFE888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72%</w:t>
            </w:r>
          </w:p>
        </w:tc>
        <w:tc>
          <w:tcPr>
            <w:tcW w:w="666" w:type="dxa"/>
            <w:tcBorders>
              <w:top w:val="nil"/>
              <w:left w:val="nil"/>
              <w:bottom w:val="nil"/>
              <w:right w:val="nil"/>
            </w:tcBorders>
            <w:shd w:val="clear" w:color="auto" w:fill="auto"/>
            <w:noWrap/>
            <w:vAlign w:val="bottom"/>
            <w:hideMark/>
          </w:tcPr>
          <w:p w14:paraId="65C852D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-30%</w:t>
            </w:r>
          </w:p>
        </w:tc>
        <w:tc>
          <w:tcPr>
            <w:tcW w:w="794" w:type="dxa"/>
            <w:tcBorders>
              <w:top w:val="nil"/>
              <w:left w:val="single" w:sz="4" w:space="0" w:color="auto"/>
              <w:bottom w:val="nil"/>
              <w:right w:val="nil"/>
            </w:tcBorders>
            <w:shd w:val="clear" w:color="auto" w:fill="auto"/>
            <w:noWrap/>
            <w:vAlign w:val="bottom"/>
            <w:hideMark/>
          </w:tcPr>
          <w:p w14:paraId="511F245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353</w:t>
            </w:r>
          </w:p>
        </w:tc>
        <w:tc>
          <w:tcPr>
            <w:tcW w:w="709" w:type="dxa"/>
            <w:tcBorders>
              <w:top w:val="nil"/>
              <w:left w:val="nil"/>
              <w:bottom w:val="nil"/>
              <w:right w:val="nil"/>
            </w:tcBorders>
            <w:shd w:val="clear" w:color="auto" w:fill="auto"/>
            <w:noWrap/>
            <w:vAlign w:val="bottom"/>
            <w:hideMark/>
          </w:tcPr>
          <w:p w14:paraId="32C167A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-37%</w:t>
            </w:r>
          </w:p>
        </w:tc>
      </w:tr>
      <w:tr w:rsidR="0064654E" w:rsidRPr="0064654E" w14:paraId="270D8F0F" w14:textId="77777777" w:rsidTr="0064654E">
        <w:trPr>
          <w:trHeight w:val="20"/>
        </w:trPr>
        <w:tc>
          <w:tcPr>
            <w:tcW w:w="1418" w:type="dxa"/>
            <w:tcBorders>
              <w:top w:val="nil"/>
              <w:left w:val="nil"/>
              <w:bottom w:val="nil"/>
              <w:right w:val="nil"/>
            </w:tcBorders>
            <w:shd w:val="clear" w:color="auto" w:fill="auto"/>
            <w:noWrap/>
            <w:vAlign w:val="bottom"/>
            <w:hideMark/>
          </w:tcPr>
          <w:p w14:paraId="1A093B34"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韶关</w:t>
            </w:r>
          </w:p>
        </w:tc>
        <w:tc>
          <w:tcPr>
            <w:tcW w:w="993" w:type="dxa"/>
            <w:tcBorders>
              <w:top w:val="nil"/>
              <w:left w:val="single" w:sz="4" w:space="0" w:color="auto"/>
              <w:bottom w:val="nil"/>
              <w:right w:val="nil"/>
            </w:tcBorders>
            <w:shd w:val="clear" w:color="auto" w:fill="auto"/>
            <w:noWrap/>
            <w:vAlign w:val="bottom"/>
            <w:hideMark/>
          </w:tcPr>
          <w:p w14:paraId="6F30EBB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27,360</w:t>
            </w:r>
          </w:p>
        </w:tc>
        <w:tc>
          <w:tcPr>
            <w:tcW w:w="708" w:type="dxa"/>
            <w:tcBorders>
              <w:top w:val="nil"/>
              <w:left w:val="nil"/>
              <w:bottom w:val="nil"/>
              <w:right w:val="nil"/>
            </w:tcBorders>
            <w:shd w:val="clear" w:color="auto" w:fill="auto"/>
            <w:noWrap/>
            <w:vAlign w:val="bottom"/>
            <w:hideMark/>
          </w:tcPr>
          <w:p w14:paraId="42CFC3A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-47%</w:t>
            </w:r>
          </w:p>
        </w:tc>
        <w:tc>
          <w:tcPr>
            <w:tcW w:w="851" w:type="dxa"/>
            <w:tcBorders>
              <w:top w:val="nil"/>
              <w:left w:val="nil"/>
              <w:bottom w:val="nil"/>
              <w:right w:val="nil"/>
            </w:tcBorders>
            <w:shd w:val="clear" w:color="auto" w:fill="auto"/>
            <w:noWrap/>
            <w:vAlign w:val="bottom"/>
            <w:hideMark/>
          </w:tcPr>
          <w:p w14:paraId="3792381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38%</w:t>
            </w:r>
          </w:p>
        </w:tc>
        <w:tc>
          <w:tcPr>
            <w:tcW w:w="711" w:type="dxa"/>
            <w:tcBorders>
              <w:top w:val="nil"/>
              <w:left w:val="single" w:sz="4" w:space="0" w:color="auto"/>
              <w:bottom w:val="nil"/>
              <w:right w:val="nil"/>
            </w:tcBorders>
            <w:shd w:val="clear" w:color="auto" w:fill="auto"/>
            <w:noWrap/>
            <w:vAlign w:val="bottom"/>
            <w:hideMark/>
          </w:tcPr>
          <w:p w14:paraId="7F7E69F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186</w:t>
            </w:r>
          </w:p>
        </w:tc>
        <w:tc>
          <w:tcPr>
            <w:tcW w:w="756" w:type="dxa"/>
            <w:tcBorders>
              <w:top w:val="nil"/>
              <w:left w:val="nil"/>
              <w:bottom w:val="nil"/>
              <w:right w:val="nil"/>
            </w:tcBorders>
            <w:shd w:val="clear" w:color="auto" w:fill="auto"/>
            <w:noWrap/>
            <w:vAlign w:val="bottom"/>
            <w:hideMark/>
          </w:tcPr>
          <w:p w14:paraId="2FB4685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343%</w:t>
            </w:r>
          </w:p>
        </w:tc>
        <w:tc>
          <w:tcPr>
            <w:tcW w:w="666" w:type="dxa"/>
            <w:tcBorders>
              <w:top w:val="nil"/>
              <w:left w:val="nil"/>
              <w:bottom w:val="nil"/>
              <w:right w:val="nil"/>
            </w:tcBorders>
            <w:shd w:val="clear" w:color="auto" w:fill="auto"/>
            <w:noWrap/>
            <w:vAlign w:val="bottom"/>
            <w:hideMark/>
          </w:tcPr>
          <w:p w14:paraId="3712FD2A"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68%</w:t>
            </w:r>
          </w:p>
        </w:tc>
        <w:tc>
          <w:tcPr>
            <w:tcW w:w="702" w:type="dxa"/>
            <w:tcBorders>
              <w:top w:val="nil"/>
              <w:left w:val="single" w:sz="4" w:space="0" w:color="auto"/>
              <w:bottom w:val="nil"/>
              <w:right w:val="nil"/>
            </w:tcBorders>
            <w:shd w:val="clear" w:color="auto" w:fill="auto"/>
            <w:noWrap/>
            <w:vAlign w:val="bottom"/>
            <w:hideMark/>
          </w:tcPr>
          <w:p w14:paraId="6E86F2E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11</w:t>
            </w:r>
          </w:p>
        </w:tc>
        <w:tc>
          <w:tcPr>
            <w:tcW w:w="666" w:type="dxa"/>
            <w:tcBorders>
              <w:top w:val="nil"/>
              <w:left w:val="nil"/>
              <w:bottom w:val="nil"/>
              <w:right w:val="nil"/>
            </w:tcBorders>
            <w:shd w:val="clear" w:color="auto" w:fill="auto"/>
            <w:noWrap/>
            <w:vAlign w:val="bottom"/>
            <w:hideMark/>
          </w:tcPr>
          <w:p w14:paraId="4A2135B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73%</w:t>
            </w:r>
          </w:p>
        </w:tc>
        <w:tc>
          <w:tcPr>
            <w:tcW w:w="666" w:type="dxa"/>
            <w:tcBorders>
              <w:top w:val="nil"/>
              <w:left w:val="nil"/>
              <w:bottom w:val="nil"/>
              <w:right w:val="nil"/>
            </w:tcBorders>
            <w:shd w:val="clear" w:color="auto" w:fill="auto"/>
            <w:noWrap/>
            <w:vAlign w:val="bottom"/>
            <w:hideMark/>
          </w:tcPr>
          <w:p w14:paraId="7715ED4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w:t>
            </w:r>
          </w:p>
        </w:tc>
        <w:tc>
          <w:tcPr>
            <w:tcW w:w="794" w:type="dxa"/>
            <w:tcBorders>
              <w:top w:val="nil"/>
              <w:left w:val="single" w:sz="4" w:space="0" w:color="auto"/>
              <w:bottom w:val="nil"/>
              <w:right w:val="nil"/>
            </w:tcBorders>
            <w:shd w:val="clear" w:color="auto" w:fill="auto"/>
            <w:noWrap/>
            <w:vAlign w:val="bottom"/>
            <w:hideMark/>
          </w:tcPr>
          <w:p w14:paraId="1F3C305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307</w:t>
            </w:r>
          </w:p>
        </w:tc>
        <w:tc>
          <w:tcPr>
            <w:tcW w:w="709" w:type="dxa"/>
            <w:tcBorders>
              <w:top w:val="nil"/>
              <w:left w:val="nil"/>
              <w:bottom w:val="nil"/>
              <w:right w:val="nil"/>
            </w:tcBorders>
            <w:shd w:val="clear" w:color="auto" w:fill="auto"/>
            <w:noWrap/>
            <w:vAlign w:val="bottom"/>
            <w:hideMark/>
          </w:tcPr>
          <w:p w14:paraId="6317E73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w:t>
            </w:r>
          </w:p>
        </w:tc>
      </w:tr>
      <w:tr w:rsidR="0064654E" w:rsidRPr="0064654E" w14:paraId="34A3823C" w14:textId="77777777" w:rsidTr="0064654E">
        <w:trPr>
          <w:trHeight w:val="20"/>
        </w:trPr>
        <w:tc>
          <w:tcPr>
            <w:tcW w:w="1418" w:type="dxa"/>
            <w:tcBorders>
              <w:top w:val="nil"/>
              <w:left w:val="nil"/>
              <w:bottom w:val="nil"/>
              <w:right w:val="nil"/>
            </w:tcBorders>
            <w:shd w:val="clear" w:color="auto" w:fill="auto"/>
            <w:noWrap/>
            <w:vAlign w:val="bottom"/>
            <w:hideMark/>
          </w:tcPr>
          <w:p w14:paraId="4E35EBC5"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佛山</w:t>
            </w:r>
          </w:p>
        </w:tc>
        <w:tc>
          <w:tcPr>
            <w:tcW w:w="993" w:type="dxa"/>
            <w:tcBorders>
              <w:top w:val="nil"/>
              <w:left w:val="single" w:sz="4" w:space="0" w:color="auto"/>
              <w:bottom w:val="nil"/>
              <w:right w:val="nil"/>
            </w:tcBorders>
            <w:shd w:val="clear" w:color="auto" w:fill="auto"/>
            <w:noWrap/>
            <w:vAlign w:val="bottom"/>
            <w:hideMark/>
          </w:tcPr>
          <w:p w14:paraId="05A2BCB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291,092</w:t>
            </w:r>
          </w:p>
        </w:tc>
        <w:tc>
          <w:tcPr>
            <w:tcW w:w="708" w:type="dxa"/>
            <w:tcBorders>
              <w:top w:val="nil"/>
              <w:left w:val="nil"/>
              <w:bottom w:val="nil"/>
              <w:right w:val="nil"/>
            </w:tcBorders>
            <w:shd w:val="clear" w:color="auto" w:fill="auto"/>
            <w:noWrap/>
            <w:vAlign w:val="bottom"/>
            <w:hideMark/>
          </w:tcPr>
          <w:p w14:paraId="4F2D506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14%</w:t>
            </w:r>
          </w:p>
        </w:tc>
        <w:tc>
          <w:tcPr>
            <w:tcW w:w="851" w:type="dxa"/>
            <w:tcBorders>
              <w:top w:val="nil"/>
              <w:left w:val="nil"/>
              <w:bottom w:val="nil"/>
              <w:right w:val="nil"/>
            </w:tcBorders>
            <w:shd w:val="clear" w:color="auto" w:fill="auto"/>
            <w:noWrap/>
            <w:vAlign w:val="bottom"/>
            <w:hideMark/>
          </w:tcPr>
          <w:p w14:paraId="1873510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-28%</w:t>
            </w:r>
          </w:p>
        </w:tc>
        <w:tc>
          <w:tcPr>
            <w:tcW w:w="711" w:type="dxa"/>
            <w:tcBorders>
              <w:top w:val="nil"/>
              <w:left w:val="single" w:sz="4" w:space="0" w:color="auto"/>
              <w:bottom w:val="nil"/>
              <w:right w:val="nil"/>
            </w:tcBorders>
            <w:shd w:val="clear" w:color="auto" w:fill="auto"/>
            <w:noWrap/>
            <w:vAlign w:val="bottom"/>
            <w:hideMark/>
          </w:tcPr>
          <w:p w14:paraId="1AF8FEF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908</w:t>
            </w:r>
          </w:p>
        </w:tc>
        <w:tc>
          <w:tcPr>
            <w:tcW w:w="756" w:type="dxa"/>
            <w:tcBorders>
              <w:top w:val="nil"/>
              <w:left w:val="nil"/>
              <w:bottom w:val="nil"/>
              <w:right w:val="nil"/>
            </w:tcBorders>
            <w:shd w:val="clear" w:color="auto" w:fill="auto"/>
            <w:noWrap/>
            <w:vAlign w:val="bottom"/>
            <w:hideMark/>
          </w:tcPr>
          <w:p w14:paraId="5D5A401E"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291%</w:t>
            </w:r>
          </w:p>
        </w:tc>
        <w:tc>
          <w:tcPr>
            <w:tcW w:w="666" w:type="dxa"/>
            <w:tcBorders>
              <w:top w:val="nil"/>
              <w:left w:val="nil"/>
              <w:bottom w:val="nil"/>
              <w:right w:val="nil"/>
            </w:tcBorders>
            <w:shd w:val="clear" w:color="auto" w:fill="auto"/>
            <w:noWrap/>
            <w:vAlign w:val="bottom"/>
            <w:hideMark/>
          </w:tcPr>
          <w:p w14:paraId="6A5A986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-42%</w:t>
            </w:r>
          </w:p>
        </w:tc>
        <w:tc>
          <w:tcPr>
            <w:tcW w:w="702" w:type="dxa"/>
            <w:tcBorders>
              <w:top w:val="nil"/>
              <w:left w:val="single" w:sz="4" w:space="0" w:color="auto"/>
              <w:bottom w:val="nil"/>
              <w:right w:val="nil"/>
            </w:tcBorders>
            <w:shd w:val="clear" w:color="auto" w:fill="auto"/>
            <w:noWrap/>
            <w:vAlign w:val="bottom"/>
            <w:hideMark/>
          </w:tcPr>
          <w:p w14:paraId="3096DCD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106</w:t>
            </w:r>
          </w:p>
        </w:tc>
        <w:tc>
          <w:tcPr>
            <w:tcW w:w="666" w:type="dxa"/>
            <w:tcBorders>
              <w:top w:val="nil"/>
              <w:left w:val="nil"/>
              <w:bottom w:val="nil"/>
              <w:right w:val="nil"/>
            </w:tcBorders>
            <w:shd w:val="clear" w:color="auto" w:fill="auto"/>
            <w:noWrap/>
            <w:vAlign w:val="bottom"/>
            <w:hideMark/>
          </w:tcPr>
          <w:p w14:paraId="26A35AB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153%</w:t>
            </w:r>
          </w:p>
        </w:tc>
        <w:tc>
          <w:tcPr>
            <w:tcW w:w="666" w:type="dxa"/>
            <w:tcBorders>
              <w:top w:val="nil"/>
              <w:left w:val="nil"/>
              <w:bottom w:val="nil"/>
              <w:right w:val="nil"/>
            </w:tcBorders>
            <w:shd w:val="clear" w:color="auto" w:fill="auto"/>
            <w:noWrap/>
            <w:vAlign w:val="bottom"/>
            <w:hideMark/>
          </w:tcPr>
          <w:p w14:paraId="63DB9E7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-29%</w:t>
            </w:r>
          </w:p>
        </w:tc>
        <w:tc>
          <w:tcPr>
            <w:tcW w:w="794" w:type="dxa"/>
            <w:tcBorders>
              <w:top w:val="nil"/>
              <w:left w:val="single" w:sz="4" w:space="0" w:color="auto"/>
              <w:bottom w:val="nil"/>
              <w:right w:val="nil"/>
            </w:tcBorders>
            <w:shd w:val="clear" w:color="auto" w:fill="auto"/>
            <w:noWrap/>
            <w:vAlign w:val="bottom"/>
            <w:hideMark/>
          </w:tcPr>
          <w:p w14:paraId="7B5BAE8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1,729</w:t>
            </w:r>
          </w:p>
        </w:tc>
        <w:tc>
          <w:tcPr>
            <w:tcW w:w="709" w:type="dxa"/>
            <w:tcBorders>
              <w:top w:val="nil"/>
              <w:left w:val="nil"/>
              <w:bottom w:val="nil"/>
              <w:right w:val="nil"/>
            </w:tcBorders>
            <w:shd w:val="clear" w:color="auto" w:fill="auto"/>
            <w:noWrap/>
            <w:vAlign w:val="bottom"/>
            <w:hideMark/>
          </w:tcPr>
          <w:p w14:paraId="07431C5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-43%</w:t>
            </w:r>
          </w:p>
        </w:tc>
      </w:tr>
      <w:tr w:rsidR="0064654E" w:rsidRPr="0064654E" w14:paraId="107200C8" w14:textId="77777777" w:rsidTr="0064654E">
        <w:trPr>
          <w:trHeight w:val="20"/>
        </w:trPr>
        <w:tc>
          <w:tcPr>
            <w:tcW w:w="1418" w:type="dxa"/>
            <w:tcBorders>
              <w:top w:val="nil"/>
              <w:left w:val="nil"/>
              <w:bottom w:val="nil"/>
              <w:right w:val="nil"/>
            </w:tcBorders>
            <w:shd w:val="clear" w:color="auto" w:fill="auto"/>
            <w:noWrap/>
            <w:vAlign w:val="bottom"/>
            <w:hideMark/>
          </w:tcPr>
          <w:p w14:paraId="7FC813F5"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江门</w:t>
            </w:r>
          </w:p>
        </w:tc>
        <w:tc>
          <w:tcPr>
            <w:tcW w:w="993" w:type="dxa"/>
            <w:tcBorders>
              <w:top w:val="nil"/>
              <w:left w:val="single" w:sz="4" w:space="0" w:color="auto"/>
              <w:bottom w:val="nil"/>
              <w:right w:val="nil"/>
            </w:tcBorders>
            <w:shd w:val="clear" w:color="auto" w:fill="auto"/>
            <w:noWrap/>
            <w:vAlign w:val="bottom"/>
            <w:hideMark/>
          </w:tcPr>
          <w:p w14:paraId="39B287E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24,043</w:t>
            </w:r>
          </w:p>
        </w:tc>
        <w:tc>
          <w:tcPr>
            <w:tcW w:w="708" w:type="dxa"/>
            <w:tcBorders>
              <w:top w:val="nil"/>
              <w:left w:val="nil"/>
              <w:bottom w:val="nil"/>
              <w:right w:val="nil"/>
            </w:tcBorders>
            <w:shd w:val="clear" w:color="auto" w:fill="auto"/>
            <w:noWrap/>
            <w:vAlign w:val="bottom"/>
            <w:hideMark/>
          </w:tcPr>
          <w:p w14:paraId="11138F8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w:t>
            </w:r>
          </w:p>
        </w:tc>
        <w:tc>
          <w:tcPr>
            <w:tcW w:w="851" w:type="dxa"/>
            <w:tcBorders>
              <w:top w:val="nil"/>
              <w:left w:val="nil"/>
              <w:bottom w:val="nil"/>
              <w:right w:val="nil"/>
            </w:tcBorders>
            <w:shd w:val="clear" w:color="auto" w:fill="auto"/>
            <w:noWrap/>
            <w:vAlign w:val="bottom"/>
            <w:hideMark/>
          </w:tcPr>
          <w:p w14:paraId="367681F1"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11%</w:t>
            </w:r>
          </w:p>
        </w:tc>
        <w:tc>
          <w:tcPr>
            <w:tcW w:w="711" w:type="dxa"/>
            <w:tcBorders>
              <w:top w:val="nil"/>
              <w:left w:val="single" w:sz="4" w:space="0" w:color="auto"/>
              <w:bottom w:val="nil"/>
              <w:right w:val="nil"/>
            </w:tcBorders>
            <w:shd w:val="clear" w:color="auto" w:fill="auto"/>
            <w:noWrap/>
            <w:vAlign w:val="bottom"/>
            <w:hideMark/>
          </w:tcPr>
          <w:p w14:paraId="7B63C81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96</w:t>
            </w:r>
          </w:p>
        </w:tc>
        <w:tc>
          <w:tcPr>
            <w:tcW w:w="756" w:type="dxa"/>
            <w:tcBorders>
              <w:top w:val="nil"/>
              <w:left w:val="nil"/>
              <w:bottom w:val="nil"/>
              <w:right w:val="nil"/>
            </w:tcBorders>
            <w:shd w:val="clear" w:color="auto" w:fill="auto"/>
            <w:noWrap/>
            <w:vAlign w:val="bottom"/>
            <w:hideMark/>
          </w:tcPr>
          <w:p w14:paraId="3E006736"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520%</w:t>
            </w:r>
          </w:p>
        </w:tc>
        <w:tc>
          <w:tcPr>
            <w:tcW w:w="666" w:type="dxa"/>
            <w:tcBorders>
              <w:top w:val="nil"/>
              <w:left w:val="nil"/>
              <w:bottom w:val="nil"/>
              <w:right w:val="nil"/>
            </w:tcBorders>
            <w:shd w:val="clear" w:color="auto" w:fill="auto"/>
            <w:noWrap/>
            <w:vAlign w:val="bottom"/>
            <w:hideMark/>
          </w:tcPr>
          <w:p w14:paraId="30844D79"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23%</w:t>
            </w:r>
          </w:p>
        </w:tc>
        <w:tc>
          <w:tcPr>
            <w:tcW w:w="702" w:type="dxa"/>
            <w:tcBorders>
              <w:top w:val="nil"/>
              <w:left w:val="single" w:sz="4" w:space="0" w:color="auto"/>
              <w:bottom w:val="nil"/>
              <w:right w:val="nil"/>
            </w:tcBorders>
            <w:shd w:val="clear" w:color="auto" w:fill="auto"/>
            <w:noWrap/>
            <w:vAlign w:val="bottom"/>
            <w:hideMark/>
          </w:tcPr>
          <w:p w14:paraId="5E9CE00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w:t>
            </w:r>
          </w:p>
        </w:tc>
        <w:tc>
          <w:tcPr>
            <w:tcW w:w="666" w:type="dxa"/>
            <w:tcBorders>
              <w:top w:val="nil"/>
              <w:left w:val="nil"/>
              <w:bottom w:val="nil"/>
              <w:right w:val="nil"/>
            </w:tcBorders>
            <w:shd w:val="clear" w:color="auto" w:fill="auto"/>
            <w:noWrap/>
            <w:vAlign w:val="bottom"/>
            <w:hideMark/>
          </w:tcPr>
          <w:p w14:paraId="434BCB9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66%</w:t>
            </w:r>
          </w:p>
        </w:tc>
        <w:tc>
          <w:tcPr>
            <w:tcW w:w="666" w:type="dxa"/>
            <w:tcBorders>
              <w:top w:val="nil"/>
              <w:left w:val="nil"/>
              <w:bottom w:val="nil"/>
              <w:right w:val="nil"/>
            </w:tcBorders>
            <w:shd w:val="clear" w:color="auto" w:fill="auto"/>
            <w:noWrap/>
            <w:vAlign w:val="bottom"/>
            <w:hideMark/>
          </w:tcPr>
          <w:p w14:paraId="4DCEC95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-35%</w:t>
            </w:r>
          </w:p>
        </w:tc>
        <w:tc>
          <w:tcPr>
            <w:tcW w:w="794" w:type="dxa"/>
            <w:tcBorders>
              <w:top w:val="nil"/>
              <w:left w:val="single" w:sz="4" w:space="0" w:color="auto"/>
              <w:bottom w:val="nil"/>
              <w:right w:val="nil"/>
            </w:tcBorders>
            <w:shd w:val="clear" w:color="auto" w:fill="auto"/>
            <w:noWrap/>
            <w:vAlign w:val="bottom"/>
            <w:hideMark/>
          </w:tcPr>
          <w:p w14:paraId="110E9B6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167</w:t>
            </w:r>
          </w:p>
        </w:tc>
        <w:tc>
          <w:tcPr>
            <w:tcW w:w="709" w:type="dxa"/>
            <w:tcBorders>
              <w:top w:val="nil"/>
              <w:left w:val="nil"/>
              <w:bottom w:val="nil"/>
              <w:right w:val="nil"/>
            </w:tcBorders>
            <w:shd w:val="clear" w:color="auto" w:fill="auto"/>
            <w:noWrap/>
            <w:vAlign w:val="bottom"/>
            <w:hideMark/>
          </w:tcPr>
          <w:p w14:paraId="786D3408"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w:t>
            </w:r>
          </w:p>
        </w:tc>
      </w:tr>
      <w:tr w:rsidR="0064654E" w:rsidRPr="0064654E" w14:paraId="6D7AC677" w14:textId="77777777" w:rsidTr="0064654E">
        <w:trPr>
          <w:trHeight w:val="20"/>
        </w:trPr>
        <w:tc>
          <w:tcPr>
            <w:tcW w:w="1418" w:type="dxa"/>
            <w:tcBorders>
              <w:top w:val="nil"/>
              <w:left w:val="nil"/>
              <w:bottom w:val="nil"/>
              <w:right w:val="nil"/>
            </w:tcBorders>
            <w:shd w:val="clear" w:color="auto" w:fill="auto"/>
            <w:noWrap/>
            <w:vAlign w:val="bottom"/>
            <w:hideMark/>
          </w:tcPr>
          <w:p w14:paraId="0094C576"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肇庆</w:t>
            </w:r>
          </w:p>
        </w:tc>
        <w:tc>
          <w:tcPr>
            <w:tcW w:w="993" w:type="dxa"/>
            <w:tcBorders>
              <w:top w:val="nil"/>
              <w:left w:val="single" w:sz="4" w:space="0" w:color="auto"/>
              <w:bottom w:val="nil"/>
              <w:right w:val="nil"/>
            </w:tcBorders>
            <w:shd w:val="clear" w:color="auto" w:fill="auto"/>
            <w:noWrap/>
            <w:vAlign w:val="bottom"/>
            <w:hideMark/>
          </w:tcPr>
          <w:p w14:paraId="6667FA4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64,736</w:t>
            </w:r>
          </w:p>
        </w:tc>
        <w:tc>
          <w:tcPr>
            <w:tcW w:w="708" w:type="dxa"/>
            <w:tcBorders>
              <w:top w:val="nil"/>
              <w:left w:val="nil"/>
              <w:bottom w:val="nil"/>
              <w:right w:val="nil"/>
            </w:tcBorders>
            <w:shd w:val="clear" w:color="auto" w:fill="auto"/>
            <w:noWrap/>
            <w:vAlign w:val="bottom"/>
            <w:hideMark/>
          </w:tcPr>
          <w:p w14:paraId="3DFA9C9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55%</w:t>
            </w:r>
          </w:p>
        </w:tc>
        <w:tc>
          <w:tcPr>
            <w:tcW w:w="851" w:type="dxa"/>
            <w:tcBorders>
              <w:top w:val="nil"/>
              <w:left w:val="nil"/>
              <w:bottom w:val="nil"/>
              <w:right w:val="nil"/>
            </w:tcBorders>
            <w:shd w:val="clear" w:color="auto" w:fill="auto"/>
            <w:noWrap/>
            <w:vAlign w:val="bottom"/>
            <w:hideMark/>
          </w:tcPr>
          <w:p w14:paraId="52571843"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w:t>
            </w:r>
          </w:p>
        </w:tc>
        <w:tc>
          <w:tcPr>
            <w:tcW w:w="711" w:type="dxa"/>
            <w:tcBorders>
              <w:top w:val="nil"/>
              <w:left w:val="single" w:sz="4" w:space="0" w:color="auto"/>
              <w:bottom w:val="nil"/>
              <w:right w:val="nil"/>
            </w:tcBorders>
            <w:shd w:val="clear" w:color="auto" w:fill="auto"/>
            <w:noWrap/>
            <w:vAlign w:val="bottom"/>
            <w:hideMark/>
          </w:tcPr>
          <w:p w14:paraId="724AAB6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183</w:t>
            </w:r>
          </w:p>
        </w:tc>
        <w:tc>
          <w:tcPr>
            <w:tcW w:w="756" w:type="dxa"/>
            <w:tcBorders>
              <w:top w:val="nil"/>
              <w:left w:val="nil"/>
              <w:bottom w:val="nil"/>
              <w:right w:val="nil"/>
            </w:tcBorders>
            <w:shd w:val="clear" w:color="auto" w:fill="auto"/>
            <w:noWrap/>
            <w:vAlign w:val="bottom"/>
            <w:hideMark/>
          </w:tcPr>
          <w:p w14:paraId="359DE821"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479%</w:t>
            </w:r>
          </w:p>
        </w:tc>
        <w:tc>
          <w:tcPr>
            <w:tcW w:w="666" w:type="dxa"/>
            <w:tcBorders>
              <w:top w:val="nil"/>
              <w:left w:val="nil"/>
              <w:bottom w:val="nil"/>
              <w:right w:val="nil"/>
            </w:tcBorders>
            <w:shd w:val="clear" w:color="auto" w:fill="auto"/>
            <w:noWrap/>
            <w:vAlign w:val="bottom"/>
            <w:hideMark/>
          </w:tcPr>
          <w:p w14:paraId="05DF1AE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w:t>
            </w:r>
          </w:p>
        </w:tc>
        <w:tc>
          <w:tcPr>
            <w:tcW w:w="702" w:type="dxa"/>
            <w:tcBorders>
              <w:top w:val="nil"/>
              <w:left w:val="single" w:sz="4" w:space="0" w:color="auto"/>
              <w:bottom w:val="nil"/>
              <w:right w:val="nil"/>
            </w:tcBorders>
            <w:shd w:val="clear" w:color="auto" w:fill="auto"/>
            <w:noWrap/>
            <w:vAlign w:val="bottom"/>
            <w:hideMark/>
          </w:tcPr>
          <w:p w14:paraId="5B16B18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w:t>
            </w:r>
          </w:p>
        </w:tc>
        <w:tc>
          <w:tcPr>
            <w:tcW w:w="666" w:type="dxa"/>
            <w:tcBorders>
              <w:top w:val="nil"/>
              <w:left w:val="nil"/>
              <w:bottom w:val="nil"/>
              <w:right w:val="nil"/>
            </w:tcBorders>
            <w:shd w:val="clear" w:color="auto" w:fill="auto"/>
            <w:noWrap/>
            <w:vAlign w:val="bottom"/>
            <w:hideMark/>
          </w:tcPr>
          <w:p w14:paraId="10A5840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191%</w:t>
            </w:r>
          </w:p>
        </w:tc>
        <w:tc>
          <w:tcPr>
            <w:tcW w:w="666" w:type="dxa"/>
            <w:tcBorders>
              <w:top w:val="nil"/>
              <w:left w:val="nil"/>
              <w:bottom w:val="nil"/>
              <w:right w:val="nil"/>
            </w:tcBorders>
            <w:shd w:val="clear" w:color="auto" w:fill="auto"/>
            <w:noWrap/>
            <w:vAlign w:val="bottom"/>
            <w:hideMark/>
          </w:tcPr>
          <w:p w14:paraId="38C7B1C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w:t>
            </w:r>
          </w:p>
        </w:tc>
        <w:tc>
          <w:tcPr>
            <w:tcW w:w="794" w:type="dxa"/>
            <w:tcBorders>
              <w:top w:val="nil"/>
              <w:left w:val="single" w:sz="4" w:space="0" w:color="auto"/>
              <w:bottom w:val="nil"/>
              <w:right w:val="nil"/>
            </w:tcBorders>
            <w:shd w:val="clear" w:color="auto" w:fill="auto"/>
            <w:noWrap/>
            <w:vAlign w:val="bottom"/>
            <w:hideMark/>
          </w:tcPr>
          <w:p w14:paraId="5FFCDF7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373</w:t>
            </w:r>
          </w:p>
        </w:tc>
        <w:tc>
          <w:tcPr>
            <w:tcW w:w="709" w:type="dxa"/>
            <w:tcBorders>
              <w:top w:val="nil"/>
              <w:left w:val="nil"/>
              <w:bottom w:val="nil"/>
              <w:right w:val="nil"/>
            </w:tcBorders>
            <w:shd w:val="clear" w:color="auto" w:fill="auto"/>
            <w:noWrap/>
            <w:vAlign w:val="bottom"/>
            <w:hideMark/>
          </w:tcPr>
          <w:p w14:paraId="0315917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62%</w:t>
            </w:r>
          </w:p>
        </w:tc>
      </w:tr>
      <w:tr w:rsidR="0064654E" w:rsidRPr="0064654E" w14:paraId="05AD9AB2" w14:textId="77777777" w:rsidTr="0064654E">
        <w:trPr>
          <w:trHeight w:val="20"/>
        </w:trPr>
        <w:tc>
          <w:tcPr>
            <w:tcW w:w="1418" w:type="dxa"/>
            <w:tcBorders>
              <w:top w:val="nil"/>
              <w:left w:val="nil"/>
              <w:bottom w:val="nil"/>
              <w:right w:val="nil"/>
            </w:tcBorders>
            <w:shd w:val="clear" w:color="auto" w:fill="auto"/>
            <w:noWrap/>
            <w:vAlign w:val="bottom"/>
            <w:hideMark/>
          </w:tcPr>
          <w:p w14:paraId="1A1CB893"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lastRenderedPageBreak/>
              <w:t>湛江</w:t>
            </w:r>
          </w:p>
        </w:tc>
        <w:tc>
          <w:tcPr>
            <w:tcW w:w="993" w:type="dxa"/>
            <w:tcBorders>
              <w:top w:val="nil"/>
              <w:left w:val="single" w:sz="4" w:space="0" w:color="auto"/>
              <w:bottom w:val="nil"/>
              <w:right w:val="nil"/>
            </w:tcBorders>
            <w:shd w:val="clear" w:color="auto" w:fill="auto"/>
            <w:noWrap/>
            <w:vAlign w:val="bottom"/>
            <w:hideMark/>
          </w:tcPr>
          <w:p w14:paraId="5AE194D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0</w:t>
            </w:r>
          </w:p>
        </w:tc>
        <w:tc>
          <w:tcPr>
            <w:tcW w:w="708" w:type="dxa"/>
            <w:tcBorders>
              <w:top w:val="nil"/>
              <w:left w:val="nil"/>
              <w:bottom w:val="nil"/>
              <w:right w:val="nil"/>
            </w:tcBorders>
            <w:shd w:val="clear" w:color="auto" w:fill="auto"/>
            <w:noWrap/>
            <w:vAlign w:val="bottom"/>
            <w:hideMark/>
          </w:tcPr>
          <w:p w14:paraId="1B17500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w:t>
            </w:r>
          </w:p>
        </w:tc>
        <w:tc>
          <w:tcPr>
            <w:tcW w:w="851" w:type="dxa"/>
            <w:tcBorders>
              <w:top w:val="nil"/>
              <w:left w:val="nil"/>
              <w:bottom w:val="nil"/>
              <w:right w:val="nil"/>
            </w:tcBorders>
            <w:shd w:val="clear" w:color="auto" w:fill="auto"/>
            <w:noWrap/>
            <w:vAlign w:val="bottom"/>
            <w:hideMark/>
          </w:tcPr>
          <w:p w14:paraId="6866BDB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-100%</w:t>
            </w:r>
          </w:p>
        </w:tc>
        <w:tc>
          <w:tcPr>
            <w:tcW w:w="711" w:type="dxa"/>
            <w:tcBorders>
              <w:top w:val="nil"/>
              <w:left w:val="single" w:sz="4" w:space="0" w:color="auto"/>
              <w:bottom w:val="nil"/>
              <w:right w:val="nil"/>
            </w:tcBorders>
            <w:shd w:val="clear" w:color="auto" w:fill="auto"/>
            <w:noWrap/>
            <w:vAlign w:val="bottom"/>
            <w:hideMark/>
          </w:tcPr>
          <w:p w14:paraId="4888074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0</w:t>
            </w:r>
          </w:p>
        </w:tc>
        <w:tc>
          <w:tcPr>
            <w:tcW w:w="756" w:type="dxa"/>
            <w:tcBorders>
              <w:top w:val="nil"/>
              <w:left w:val="nil"/>
              <w:bottom w:val="nil"/>
              <w:right w:val="nil"/>
            </w:tcBorders>
            <w:shd w:val="clear" w:color="auto" w:fill="auto"/>
            <w:noWrap/>
            <w:vAlign w:val="bottom"/>
            <w:hideMark/>
          </w:tcPr>
          <w:p w14:paraId="258B9EF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-100%</w:t>
            </w:r>
          </w:p>
        </w:tc>
        <w:tc>
          <w:tcPr>
            <w:tcW w:w="666" w:type="dxa"/>
            <w:tcBorders>
              <w:top w:val="nil"/>
              <w:left w:val="nil"/>
              <w:bottom w:val="nil"/>
              <w:right w:val="nil"/>
            </w:tcBorders>
            <w:shd w:val="clear" w:color="auto" w:fill="auto"/>
            <w:noWrap/>
            <w:vAlign w:val="bottom"/>
            <w:hideMark/>
          </w:tcPr>
          <w:p w14:paraId="785EF6D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-100%</w:t>
            </w:r>
          </w:p>
        </w:tc>
        <w:tc>
          <w:tcPr>
            <w:tcW w:w="702" w:type="dxa"/>
            <w:tcBorders>
              <w:top w:val="nil"/>
              <w:left w:val="single" w:sz="4" w:space="0" w:color="auto"/>
              <w:bottom w:val="nil"/>
              <w:right w:val="nil"/>
            </w:tcBorders>
            <w:shd w:val="clear" w:color="auto" w:fill="auto"/>
            <w:noWrap/>
            <w:vAlign w:val="bottom"/>
            <w:hideMark/>
          </w:tcPr>
          <w:p w14:paraId="6E31B43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0</w:t>
            </w:r>
          </w:p>
        </w:tc>
        <w:tc>
          <w:tcPr>
            <w:tcW w:w="666" w:type="dxa"/>
            <w:tcBorders>
              <w:top w:val="nil"/>
              <w:left w:val="nil"/>
              <w:bottom w:val="nil"/>
              <w:right w:val="nil"/>
            </w:tcBorders>
            <w:shd w:val="clear" w:color="auto" w:fill="auto"/>
            <w:noWrap/>
            <w:vAlign w:val="bottom"/>
            <w:hideMark/>
          </w:tcPr>
          <w:p w14:paraId="03DC38F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w:t>
            </w:r>
          </w:p>
        </w:tc>
        <w:tc>
          <w:tcPr>
            <w:tcW w:w="666" w:type="dxa"/>
            <w:tcBorders>
              <w:top w:val="nil"/>
              <w:left w:val="nil"/>
              <w:bottom w:val="nil"/>
              <w:right w:val="nil"/>
            </w:tcBorders>
            <w:shd w:val="clear" w:color="auto" w:fill="auto"/>
            <w:noWrap/>
            <w:vAlign w:val="bottom"/>
            <w:hideMark/>
          </w:tcPr>
          <w:p w14:paraId="3281329E"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-100%</w:t>
            </w:r>
          </w:p>
        </w:tc>
        <w:tc>
          <w:tcPr>
            <w:tcW w:w="794" w:type="dxa"/>
            <w:tcBorders>
              <w:top w:val="nil"/>
              <w:left w:val="single" w:sz="4" w:space="0" w:color="auto"/>
              <w:bottom w:val="nil"/>
              <w:right w:val="nil"/>
            </w:tcBorders>
            <w:shd w:val="clear" w:color="auto" w:fill="auto"/>
            <w:noWrap/>
            <w:vAlign w:val="bottom"/>
            <w:hideMark/>
          </w:tcPr>
          <w:p w14:paraId="217FB2A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274</w:t>
            </w:r>
          </w:p>
        </w:tc>
        <w:tc>
          <w:tcPr>
            <w:tcW w:w="709" w:type="dxa"/>
            <w:tcBorders>
              <w:top w:val="nil"/>
              <w:left w:val="nil"/>
              <w:bottom w:val="nil"/>
              <w:right w:val="nil"/>
            </w:tcBorders>
            <w:shd w:val="clear" w:color="auto" w:fill="auto"/>
            <w:noWrap/>
            <w:vAlign w:val="bottom"/>
            <w:hideMark/>
          </w:tcPr>
          <w:p w14:paraId="3AF5E06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-19%</w:t>
            </w:r>
          </w:p>
        </w:tc>
      </w:tr>
      <w:tr w:rsidR="0064654E" w:rsidRPr="0064654E" w14:paraId="2B2FA6C8" w14:textId="77777777" w:rsidTr="0064654E">
        <w:trPr>
          <w:trHeight w:val="20"/>
        </w:trPr>
        <w:tc>
          <w:tcPr>
            <w:tcW w:w="1418" w:type="dxa"/>
            <w:tcBorders>
              <w:top w:val="nil"/>
              <w:left w:val="nil"/>
              <w:bottom w:val="nil"/>
              <w:right w:val="nil"/>
            </w:tcBorders>
            <w:shd w:val="clear" w:color="000000" w:fill="D9D9D9"/>
            <w:noWrap/>
            <w:vAlign w:val="bottom"/>
            <w:hideMark/>
          </w:tcPr>
          <w:p w14:paraId="70144DA4"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珠三角及南部其它城市</w:t>
            </w:r>
          </w:p>
        </w:tc>
        <w:tc>
          <w:tcPr>
            <w:tcW w:w="993" w:type="dxa"/>
            <w:tcBorders>
              <w:top w:val="nil"/>
              <w:left w:val="single" w:sz="4" w:space="0" w:color="auto"/>
              <w:bottom w:val="nil"/>
              <w:right w:val="nil"/>
            </w:tcBorders>
            <w:shd w:val="clear" w:color="000000" w:fill="D9D9D9"/>
            <w:noWrap/>
            <w:vAlign w:val="bottom"/>
            <w:hideMark/>
          </w:tcPr>
          <w:p w14:paraId="55F3888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930,667</w:t>
            </w:r>
          </w:p>
        </w:tc>
        <w:tc>
          <w:tcPr>
            <w:tcW w:w="708" w:type="dxa"/>
            <w:tcBorders>
              <w:top w:val="nil"/>
              <w:left w:val="nil"/>
              <w:bottom w:val="nil"/>
              <w:right w:val="nil"/>
            </w:tcBorders>
            <w:shd w:val="clear" w:color="000000" w:fill="D9D9D9"/>
            <w:noWrap/>
            <w:vAlign w:val="bottom"/>
            <w:hideMark/>
          </w:tcPr>
          <w:p w14:paraId="7AC8CDD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8%</w:t>
            </w:r>
          </w:p>
        </w:tc>
        <w:tc>
          <w:tcPr>
            <w:tcW w:w="851" w:type="dxa"/>
            <w:tcBorders>
              <w:top w:val="nil"/>
              <w:left w:val="nil"/>
              <w:bottom w:val="nil"/>
              <w:right w:val="nil"/>
            </w:tcBorders>
            <w:shd w:val="clear" w:color="000000" w:fill="D9D9D9"/>
            <w:noWrap/>
            <w:vAlign w:val="bottom"/>
            <w:hideMark/>
          </w:tcPr>
          <w:p w14:paraId="048DE9E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-24%</w:t>
            </w:r>
          </w:p>
        </w:tc>
        <w:tc>
          <w:tcPr>
            <w:tcW w:w="711" w:type="dxa"/>
            <w:tcBorders>
              <w:top w:val="nil"/>
              <w:left w:val="single" w:sz="4" w:space="0" w:color="auto"/>
              <w:bottom w:val="nil"/>
              <w:right w:val="nil"/>
            </w:tcBorders>
            <w:shd w:val="clear" w:color="000000" w:fill="D9D9D9"/>
            <w:noWrap/>
            <w:vAlign w:val="bottom"/>
            <w:hideMark/>
          </w:tcPr>
          <w:p w14:paraId="535233E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3,271</w:t>
            </w:r>
          </w:p>
        </w:tc>
        <w:tc>
          <w:tcPr>
            <w:tcW w:w="756" w:type="dxa"/>
            <w:tcBorders>
              <w:top w:val="nil"/>
              <w:left w:val="nil"/>
              <w:bottom w:val="nil"/>
              <w:right w:val="nil"/>
            </w:tcBorders>
            <w:shd w:val="clear" w:color="000000" w:fill="D9D9D9"/>
            <w:noWrap/>
            <w:vAlign w:val="bottom"/>
            <w:hideMark/>
          </w:tcPr>
          <w:p w14:paraId="139D221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209%</w:t>
            </w:r>
          </w:p>
        </w:tc>
        <w:tc>
          <w:tcPr>
            <w:tcW w:w="666" w:type="dxa"/>
            <w:tcBorders>
              <w:top w:val="nil"/>
              <w:left w:val="nil"/>
              <w:bottom w:val="nil"/>
              <w:right w:val="nil"/>
            </w:tcBorders>
            <w:shd w:val="clear" w:color="000000" w:fill="D9D9D9"/>
            <w:noWrap/>
            <w:vAlign w:val="bottom"/>
            <w:hideMark/>
          </w:tcPr>
          <w:p w14:paraId="0E31C70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-31%</w:t>
            </w:r>
          </w:p>
        </w:tc>
        <w:tc>
          <w:tcPr>
            <w:tcW w:w="702" w:type="dxa"/>
            <w:tcBorders>
              <w:top w:val="nil"/>
              <w:left w:val="single" w:sz="4" w:space="0" w:color="auto"/>
              <w:bottom w:val="nil"/>
              <w:right w:val="nil"/>
            </w:tcBorders>
            <w:shd w:val="clear" w:color="000000" w:fill="D9D9D9"/>
            <w:noWrap/>
            <w:vAlign w:val="bottom"/>
            <w:hideMark/>
          </w:tcPr>
          <w:p w14:paraId="26ACA53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328</w:t>
            </w:r>
          </w:p>
        </w:tc>
        <w:tc>
          <w:tcPr>
            <w:tcW w:w="666" w:type="dxa"/>
            <w:tcBorders>
              <w:top w:val="nil"/>
              <w:left w:val="nil"/>
              <w:bottom w:val="nil"/>
              <w:right w:val="nil"/>
            </w:tcBorders>
            <w:shd w:val="clear" w:color="000000" w:fill="D9D9D9"/>
            <w:noWrap/>
            <w:vAlign w:val="bottom"/>
            <w:hideMark/>
          </w:tcPr>
          <w:p w14:paraId="484A203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83%</w:t>
            </w:r>
          </w:p>
        </w:tc>
        <w:tc>
          <w:tcPr>
            <w:tcW w:w="666" w:type="dxa"/>
            <w:tcBorders>
              <w:top w:val="nil"/>
              <w:left w:val="nil"/>
              <w:bottom w:val="nil"/>
              <w:right w:val="nil"/>
            </w:tcBorders>
            <w:shd w:val="clear" w:color="000000" w:fill="D9D9D9"/>
            <w:noWrap/>
            <w:vAlign w:val="bottom"/>
            <w:hideMark/>
          </w:tcPr>
          <w:p w14:paraId="5EC3C36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-28%</w:t>
            </w:r>
          </w:p>
        </w:tc>
        <w:tc>
          <w:tcPr>
            <w:tcW w:w="794" w:type="dxa"/>
            <w:tcBorders>
              <w:top w:val="nil"/>
              <w:left w:val="single" w:sz="4" w:space="0" w:color="auto"/>
              <w:bottom w:val="nil"/>
              <w:right w:val="nil"/>
            </w:tcBorders>
            <w:shd w:val="clear" w:color="000000" w:fill="D9D9D9"/>
            <w:noWrap/>
            <w:vAlign w:val="bottom"/>
            <w:hideMark/>
          </w:tcPr>
          <w:p w14:paraId="172B972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6,942</w:t>
            </w:r>
          </w:p>
        </w:tc>
        <w:tc>
          <w:tcPr>
            <w:tcW w:w="709" w:type="dxa"/>
            <w:tcBorders>
              <w:top w:val="nil"/>
              <w:left w:val="nil"/>
              <w:bottom w:val="nil"/>
              <w:right w:val="nil"/>
            </w:tcBorders>
            <w:shd w:val="clear" w:color="000000" w:fill="D9D9D9"/>
            <w:noWrap/>
            <w:vAlign w:val="bottom"/>
            <w:hideMark/>
          </w:tcPr>
          <w:p w14:paraId="7E52025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-33%</w:t>
            </w:r>
          </w:p>
        </w:tc>
      </w:tr>
      <w:tr w:rsidR="0064654E" w:rsidRPr="0064654E" w14:paraId="52531C58" w14:textId="77777777" w:rsidTr="0064654E">
        <w:trPr>
          <w:trHeight w:val="20"/>
        </w:trPr>
        <w:tc>
          <w:tcPr>
            <w:tcW w:w="1418" w:type="dxa"/>
            <w:tcBorders>
              <w:top w:val="nil"/>
              <w:left w:val="nil"/>
              <w:bottom w:val="nil"/>
              <w:right w:val="nil"/>
            </w:tcBorders>
            <w:shd w:val="clear" w:color="auto" w:fill="auto"/>
            <w:noWrap/>
            <w:vAlign w:val="bottom"/>
            <w:hideMark/>
          </w:tcPr>
          <w:p w14:paraId="5E1E19E6"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长春</w:t>
            </w:r>
          </w:p>
        </w:tc>
        <w:tc>
          <w:tcPr>
            <w:tcW w:w="993" w:type="dxa"/>
            <w:tcBorders>
              <w:top w:val="nil"/>
              <w:left w:val="single" w:sz="4" w:space="0" w:color="auto"/>
              <w:bottom w:val="nil"/>
              <w:right w:val="nil"/>
            </w:tcBorders>
            <w:shd w:val="clear" w:color="auto" w:fill="auto"/>
            <w:noWrap/>
            <w:vAlign w:val="bottom"/>
            <w:hideMark/>
          </w:tcPr>
          <w:p w14:paraId="43D4853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159,611</w:t>
            </w:r>
          </w:p>
        </w:tc>
        <w:tc>
          <w:tcPr>
            <w:tcW w:w="708" w:type="dxa"/>
            <w:tcBorders>
              <w:top w:val="nil"/>
              <w:left w:val="nil"/>
              <w:bottom w:val="nil"/>
              <w:right w:val="nil"/>
            </w:tcBorders>
            <w:shd w:val="clear" w:color="auto" w:fill="auto"/>
            <w:noWrap/>
            <w:vAlign w:val="bottom"/>
            <w:hideMark/>
          </w:tcPr>
          <w:p w14:paraId="4B066D3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w:t>
            </w:r>
          </w:p>
        </w:tc>
        <w:tc>
          <w:tcPr>
            <w:tcW w:w="851" w:type="dxa"/>
            <w:tcBorders>
              <w:top w:val="nil"/>
              <w:left w:val="nil"/>
              <w:bottom w:val="nil"/>
              <w:right w:val="nil"/>
            </w:tcBorders>
            <w:shd w:val="clear" w:color="auto" w:fill="auto"/>
            <w:noWrap/>
            <w:vAlign w:val="bottom"/>
            <w:hideMark/>
          </w:tcPr>
          <w:p w14:paraId="5098843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-13%</w:t>
            </w:r>
          </w:p>
        </w:tc>
        <w:tc>
          <w:tcPr>
            <w:tcW w:w="711" w:type="dxa"/>
            <w:tcBorders>
              <w:top w:val="nil"/>
              <w:left w:val="single" w:sz="4" w:space="0" w:color="auto"/>
              <w:bottom w:val="nil"/>
              <w:right w:val="nil"/>
            </w:tcBorders>
            <w:shd w:val="clear" w:color="auto" w:fill="auto"/>
            <w:noWrap/>
            <w:vAlign w:val="bottom"/>
            <w:hideMark/>
          </w:tcPr>
          <w:p w14:paraId="0615E6E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665</w:t>
            </w:r>
          </w:p>
        </w:tc>
        <w:tc>
          <w:tcPr>
            <w:tcW w:w="756" w:type="dxa"/>
            <w:tcBorders>
              <w:top w:val="nil"/>
              <w:left w:val="nil"/>
              <w:bottom w:val="nil"/>
              <w:right w:val="nil"/>
            </w:tcBorders>
            <w:shd w:val="clear" w:color="auto" w:fill="auto"/>
            <w:noWrap/>
            <w:vAlign w:val="bottom"/>
            <w:hideMark/>
          </w:tcPr>
          <w:p w14:paraId="11484ED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334%</w:t>
            </w:r>
          </w:p>
        </w:tc>
        <w:tc>
          <w:tcPr>
            <w:tcW w:w="666" w:type="dxa"/>
            <w:tcBorders>
              <w:top w:val="nil"/>
              <w:left w:val="nil"/>
              <w:bottom w:val="nil"/>
              <w:right w:val="nil"/>
            </w:tcBorders>
            <w:shd w:val="clear" w:color="auto" w:fill="auto"/>
            <w:noWrap/>
            <w:vAlign w:val="bottom"/>
            <w:hideMark/>
          </w:tcPr>
          <w:p w14:paraId="1E04570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-29%</w:t>
            </w:r>
          </w:p>
        </w:tc>
        <w:tc>
          <w:tcPr>
            <w:tcW w:w="702" w:type="dxa"/>
            <w:tcBorders>
              <w:top w:val="nil"/>
              <w:left w:val="single" w:sz="4" w:space="0" w:color="auto"/>
              <w:bottom w:val="nil"/>
              <w:right w:val="nil"/>
            </w:tcBorders>
            <w:shd w:val="clear" w:color="auto" w:fill="auto"/>
            <w:noWrap/>
            <w:vAlign w:val="bottom"/>
            <w:hideMark/>
          </w:tcPr>
          <w:p w14:paraId="278C979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76</w:t>
            </w:r>
          </w:p>
        </w:tc>
        <w:tc>
          <w:tcPr>
            <w:tcW w:w="666" w:type="dxa"/>
            <w:tcBorders>
              <w:top w:val="nil"/>
              <w:left w:val="nil"/>
              <w:bottom w:val="nil"/>
              <w:right w:val="nil"/>
            </w:tcBorders>
            <w:shd w:val="clear" w:color="auto" w:fill="auto"/>
            <w:noWrap/>
            <w:vAlign w:val="bottom"/>
            <w:hideMark/>
          </w:tcPr>
          <w:p w14:paraId="57A05E1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73%</w:t>
            </w:r>
          </w:p>
        </w:tc>
        <w:tc>
          <w:tcPr>
            <w:tcW w:w="666" w:type="dxa"/>
            <w:tcBorders>
              <w:top w:val="nil"/>
              <w:left w:val="nil"/>
              <w:bottom w:val="nil"/>
              <w:right w:val="nil"/>
            </w:tcBorders>
            <w:shd w:val="clear" w:color="auto" w:fill="auto"/>
            <w:noWrap/>
            <w:vAlign w:val="bottom"/>
            <w:hideMark/>
          </w:tcPr>
          <w:p w14:paraId="3E4650D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w:t>
            </w:r>
          </w:p>
        </w:tc>
        <w:tc>
          <w:tcPr>
            <w:tcW w:w="794" w:type="dxa"/>
            <w:tcBorders>
              <w:top w:val="nil"/>
              <w:left w:val="single" w:sz="4" w:space="0" w:color="auto"/>
              <w:bottom w:val="nil"/>
              <w:right w:val="nil"/>
            </w:tcBorders>
            <w:shd w:val="clear" w:color="auto" w:fill="auto"/>
            <w:noWrap/>
            <w:vAlign w:val="bottom"/>
            <w:hideMark/>
          </w:tcPr>
          <w:p w14:paraId="2A98936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1,306</w:t>
            </w:r>
          </w:p>
        </w:tc>
        <w:tc>
          <w:tcPr>
            <w:tcW w:w="709" w:type="dxa"/>
            <w:tcBorders>
              <w:top w:val="nil"/>
              <w:left w:val="nil"/>
              <w:bottom w:val="nil"/>
              <w:right w:val="nil"/>
            </w:tcBorders>
            <w:shd w:val="clear" w:color="auto" w:fill="auto"/>
            <w:noWrap/>
            <w:vAlign w:val="bottom"/>
            <w:hideMark/>
          </w:tcPr>
          <w:p w14:paraId="3A5B0EC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-48%</w:t>
            </w:r>
          </w:p>
        </w:tc>
      </w:tr>
      <w:tr w:rsidR="0064654E" w:rsidRPr="0064654E" w14:paraId="4ECFB7DC" w14:textId="77777777" w:rsidTr="0064654E">
        <w:trPr>
          <w:trHeight w:val="20"/>
        </w:trPr>
        <w:tc>
          <w:tcPr>
            <w:tcW w:w="1418" w:type="dxa"/>
            <w:tcBorders>
              <w:top w:val="nil"/>
              <w:left w:val="nil"/>
              <w:bottom w:val="nil"/>
              <w:right w:val="nil"/>
            </w:tcBorders>
            <w:shd w:val="clear" w:color="auto" w:fill="auto"/>
            <w:noWrap/>
            <w:vAlign w:val="bottom"/>
            <w:hideMark/>
          </w:tcPr>
          <w:p w14:paraId="59734850"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吉林</w:t>
            </w:r>
          </w:p>
        </w:tc>
        <w:tc>
          <w:tcPr>
            <w:tcW w:w="993" w:type="dxa"/>
            <w:tcBorders>
              <w:top w:val="nil"/>
              <w:left w:val="single" w:sz="4" w:space="0" w:color="auto"/>
              <w:bottom w:val="nil"/>
              <w:right w:val="nil"/>
            </w:tcBorders>
            <w:shd w:val="clear" w:color="auto" w:fill="auto"/>
            <w:noWrap/>
            <w:vAlign w:val="bottom"/>
            <w:hideMark/>
          </w:tcPr>
          <w:p w14:paraId="36AA17E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0</w:t>
            </w:r>
          </w:p>
        </w:tc>
        <w:tc>
          <w:tcPr>
            <w:tcW w:w="708" w:type="dxa"/>
            <w:tcBorders>
              <w:top w:val="nil"/>
              <w:left w:val="nil"/>
              <w:bottom w:val="nil"/>
              <w:right w:val="nil"/>
            </w:tcBorders>
            <w:shd w:val="clear" w:color="auto" w:fill="auto"/>
            <w:noWrap/>
            <w:vAlign w:val="bottom"/>
            <w:hideMark/>
          </w:tcPr>
          <w:p w14:paraId="3664CA6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w:t>
            </w:r>
          </w:p>
        </w:tc>
        <w:tc>
          <w:tcPr>
            <w:tcW w:w="851" w:type="dxa"/>
            <w:tcBorders>
              <w:top w:val="nil"/>
              <w:left w:val="nil"/>
              <w:bottom w:val="nil"/>
              <w:right w:val="nil"/>
            </w:tcBorders>
            <w:shd w:val="clear" w:color="auto" w:fill="auto"/>
            <w:noWrap/>
            <w:vAlign w:val="bottom"/>
            <w:hideMark/>
          </w:tcPr>
          <w:p w14:paraId="53B562B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-100%</w:t>
            </w:r>
          </w:p>
        </w:tc>
        <w:tc>
          <w:tcPr>
            <w:tcW w:w="711" w:type="dxa"/>
            <w:tcBorders>
              <w:top w:val="nil"/>
              <w:left w:val="single" w:sz="4" w:space="0" w:color="auto"/>
              <w:bottom w:val="nil"/>
              <w:right w:val="nil"/>
            </w:tcBorders>
            <w:shd w:val="clear" w:color="auto" w:fill="auto"/>
            <w:noWrap/>
            <w:vAlign w:val="bottom"/>
            <w:hideMark/>
          </w:tcPr>
          <w:p w14:paraId="709951D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0</w:t>
            </w:r>
          </w:p>
        </w:tc>
        <w:tc>
          <w:tcPr>
            <w:tcW w:w="756" w:type="dxa"/>
            <w:tcBorders>
              <w:top w:val="nil"/>
              <w:left w:val="nil"/>
              <w:bottom w:val="nil"/>
              <w:right w:val="nil"/>
            </w:tcBorders>
            <w:shd w:val="clear" w:color="auto" w:fill="auto"/>
            <w:noWrap/>
            <w:vAlign w:val="bottom"/>
            <w:hideMark/>
          </w:tcPr>
          <w:p w14:paraId="44E5578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w:t>
            </w:r>
          </w:p>
        </w:tc>
        <w:tc>
          <w:tcPr>
            <w:tcW w:w="666" w:type="dxa"/>
            <w:tcBorders>
              <w:top w:val="nil"/>
              <w:left w:val="nil"/>
              <w:bottom w:val="nil"/>
              <w:right w:val="nil"/>
            </w:tcBorders>
            <w:shd w:val="clear" w:color="auto" w:fill="auto"/>
            <w:noWrap/>
            <w:vAlign w:val="bottom"/>
            <w:hideMark/>
          </w:tcPr>
          <w:p w14:paraId="2D5BDFB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-100%</w:t>
            </w:r>
          </w:p>
        </w:tc>
        <w:tc>
          <w:tcPr>
            <w:tcW w:w="702" w:type="dxa"/>
            <w:tcBorders>
              <w:top w:val="nil"/>
              <w:left w:val="single" w:sz="4" w:space="0" w:color="auto"/>
              <w:bottom w:val="nil"/>
              <w:right w:val="nil"/>
            </w:tcBorders>
            <w:shd w:val="clear" w:color="auto" w:fill="auto"/>
            <w:noWrap/>
            <w:vAlign w:val="bottom"/>
            <w:hideMark/>
          </w:tcPr>
          <w:p w14:paraId="38A1304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0</w:t>
            </w:r>
          </w:p>
        </w:tc>
        <w:tc>
          <w:tcPr>
            <w:tcW w:w="666" w:type="dxa"/>
            <w:tcBorders>
              <w:top w:val="nil"/>
              <w:left w:val="nil"/>
              <w:bottom w:val="nil"/>
              <w:right w:val="nil"/>
            </w:tcBorders>
            <w:shd w:val="clear" w:color="auto" w:fill="auto"/>
            <w:noWrap/>
            <w:vAlign w:val="bottom"/>
            <w:hideMark/>
          </w:tcPr>
          <w:p w14:paraId="1AC5659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w:t>
            </w:r>
          </w:p>
        </w:tc>
        <w:tc>
          <w:tcPr>
            <w:tcW w:w="666" w:type="dxa"/>
            <w:tcBorders>
              <w:top w:val="nil"/>
              <w:left w:val="nil"/>
              <w:bottom w:val="nil"/>
              <w:right w:val="nil"/>
            </w:tcBorders>
            <w:shd w:val="clear" w:color="auto" w:fill="auto"/>
            <w:noWrap/>
            <w:vAlign w:val="bottom"/>
            <w:hideMark/>
          </w:tcPr>
          <w:p w14:paraId="21D61C62"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-100%</w:t>
            </w:r>
          </w:p>
        </w:tc>
        <w:tc>
          <w:tcPr>
            <w:tcW w:w="794" w:type="dxa"/>
            <w:tcBorders>
              <w:top w:val="nil"/>
              <w:left w:val="single" w:sz="4" w:space="0" w:color="auto"/>
              <w:bottom w:val="nil"/>
              <w:right w:val="nil"/>
            </w:tcBorders>
            <w:shd w:val="clear" w:color="auto" w:fill="auto"/>
            <w:noWrap/>
            <w:vAlign w:val="bottom"/>
            <w:hideMark/>
          </w:tcPr>
          <w:p w14:paraId="2E0B91A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0</w:t>
            </w:r>
          </w:p>
        </w:tc>
        <w:tc>
          <w:tcPr>
            <w:tcW w:w="709" w:type="dxa"/>
            <w:tcBorders>
              <w:top w:val="nil"/>
              <w:left w:val="nil"/>
              <w:bottom w:val="nil"/>
              <w:right w:val="nil"/>
            </w:tcBorders>
            <w:shd w:val="clear" w:color="auto" w:fill="auto"/>
            <w:noWrap/>
            <w:vAlign w:val="bottom"/>
            <w:hideMark/>
          </w:tcPr>
          <w:p w14:paraId="0CDE7F8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-100%</w:t>
            </w:r>
          </w:p>
        </w:tc>
      </w:tr>
      <w:tr w:rsidR="0064654E" w:rsidRPr="0064654E" w14:paraId="0870B7FB" w14:textId="77777777" w:rsidTr="0064654E">
        <w:trPr>
          <w:trHeight w:val="20"/>
        </w:trPr>
        <w:tc>
          <w:tcPr>
            <w:tcW w:w="1418" w:type="dxa"/>
            <w:tcBorders>
              <w:top w:val="nil"/>
              <w:left w:val="nil"/>
              <w:bottom w:val="nil"/>
              <w:right w:val="nil"/>
            </w:tcBorders>
            <w:shd w:val="clear" w:color="auto" w:fill="auto"/>
            <w:noWrap/>
            <w:vAlign w:val="bottom"/>
            <w:hideMark/>
          </w:tcPr>
          <w:p w14:paraId="11CD4DE3"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泰安</w:t>
            </w:r>
          </w:p>
        </w:tc>
        <w:tc>
          <w:tcPr>
            <w:tcW w:w="993" w:type="dxa"/>
            <w:tcBorders>
              <w:top w:val="nil"/>
              <w:left w:val="single" w:sz="4" w:space="0" w:color="auto"/>
              <w:bottom w:val="nil"/>
              <w:right w:val="nil"/>
            </w:tcBorders>
            <w:shd w:val="clear" w:color="auto" w:fill="auto"/>
            <w:noWrap/>
            <w:vAlign w:val="bottom"/>
            <w:hideMark/>
          </w:tcPr>
          <w:p w14:paraId="0C31C49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34,022</w:t>
            </w:r>
          </w:p>
        </w:tc>
        <w:tc>
          <w:tcPr>
            <w:tcW w:w="708" w:type="dxa"/>
            <w:tcBorders>
              <w:top w:val="nil"/>
              <w:left w:val="nil"/>
              <w:bottom w:val="nil"/>
              <w:right w:val="nil"/>
            </w:tcBorders>
            <w:shd w:val="clear" w:color="auto" w:fill="auto"/>
            <w:noWrap/>
            <w:vAlign w:val="bottom"/>
            <w:hideMark/>
          </w:tcPr>
          <w:p w14:paraId="6C4EFD5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w:t>
            </w:r>
          </w:p>
        </w:tc>
        <w:tc>
          <w:tcPr>
            <w:tcW w:w="851" w:type="dxa"/>
            <w:tcBorders>
              <w:top w:val="nil"/>
              <w:left w:val="nil"/>
              <w:bottom w:val="nil"/>
              <w:right w:val="nil"/>
            </w:tcBorders>
            <w:shd w:val="clear" w:color="auto" w:fill="auto"/>
            <w:noWrap/>
            <w:vAlign w:val="bottom"/>
            <w:hideMark/>
          </w:tcPr>
          <w:p w14:paraId="2D59C67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-24%</w:t>
            </w:r>
          </w:p>
        </w:tc>
        <w:tc>
          <w:tcPr>
            <w:tcW w:w="711" w:type="dxa"/>
            <w:tcBorders>
              <w:top w:val="nil"/>
              <w:left w:val="single" w:sz="4" w:space="0" w:color="auto"/>
              <w:bottom w:val="nil"/>
              <w:right w:val="nil"/>
            </w:tcBorders>
            <w:shd w:val="clear" w:color="auto" w:fill="auto"/>
            <w:noWrap/>
            <w:vAlign w:val="bottom"/>
            <w:hideMark/>
          </w:tcPr>
          <w:p w14:paraId="681F0D8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121</w:t>
            </w:r>
          </w:p>
        </w:tc>
        <w:tc>
          <w:tcPr>
            <w:tcW w:w="756" w:type="dxa"/>
            <w:tcBorders>
              <w:top w:val="nil"/>
              <w:left w:val="nil"/>
              <w:bottom w:val="nil"/>
              <w:right w:val="nil"/>
            </w:tcBorders>
            <w:shd w:val="clear" w:color="auto" w:fill="auto"/>
            <w:noWrap/>
            <w:vAlign w:val="bottom"/>
            <w:hideMark/>
          </w:tcPr>
          <w:p w14:paraId="0A56050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314%</w:t>
            </w:r>
          </w:p>
        </w:tc>
        <w:tc>
          <w:tcPr>
            <w:tcW w:w="666" w:type="dxa"/>
            <w:tcBorders>
              <w:top w:val="nil"/>
              <w:left w:val="nil"/>
              <w:bottom w:val="nil"/>
              <w:right w:val="nil"/>
            </w:tcBorders>
            <w:shd w:val="clear" w:color="auto" w:fill="auto"/>
            <w:noWrap/>
            <w:vAlign w:val="bottom"/>
            <w:hideMark/>
          </w:tcPr>
          <w:p w14:paraId="210AA38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-40%</w:t>
            </w:r>
          </w:p>
        </w:tc>
        <w:tc>
          <w:tcPr>
            <w:tcW w:w="702" w:type="dxa"/>
            <w:tcBorders>
              <w:top w:val="nil"/>
              <w:left w:val="single" w:sz="4" w:space="0" w:color="auto"/>
              <w:bottom w:val="nil"/>
              <w:right w:val="nil"/>
            </w:tcBorders>
            <w:shd w:val="clear" w:color="auto" w:fill="auto"/>
            <w:noWrap/>
            <w:vAlign w:val="bottom"/>
            <w:hideMark/>
          </w:tcPr>
          <w:p w14:paraId="302F187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19</w:t>
            </w:r>
          </w:p>
        </w:tc>
        <w:tc>
          <w:tcPr>
            <w:tcW w:w="666" w:type="dxa"/>
            <w:tcBorders>
              <w:top w:val="nil"/>
              <w:left w:val="nil"/>
              <w:bottom w:val="nil"/>
              <w:right w:val="nil"/>
            </w:tcBorders>
            <w:shd w:val="clear" w:color="auto" w:fill="auto"/>
            <w:noWrap/>
            <w:vAlign w:val="bottom"/>
            <w:hideMark/>
          </w:tcPr>
          <w:p w14:paraId="19C9E16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51%</w:t>
            </w:r>
          </w:p>
        </w:tc>
        <w:tc>
          <w:tcPr>
            <w:tcW w:w="666" w:type="dxa"/>
            <w:tcBorders>
              <w:top w:val="nil"/>
              <w:left w:val="nil"/>
              <w:bottom w:val="nil"/>
              <w:right w:val="nil"/>
            </w:tcBorders>
            <w:shd w:val="clear" w:color="auto" w:fill="auto"/>
            <w:noWrap/>
            <w:vAlign w:val="bottom"/>
            <w:hideMark/>
          </w:tcPr>
          <w:p w14:paraId="70D8D5E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-16%</w:t>
            </w:r>
          </w:p>
        </w:tc>
        <w:tc>
          <w:tcPr>
            <w:tcW w:w="794" w:type="dxa"/>
            <w:tcBorders>
              <w:top w:val="nil"/>
              <w:left w:val="single" w:sz="4" w:space="0" w:color="auto"/>
              <w:bottom w:val="nil"/>
              <w:right w:val="nil"/>
            </w:tcBorders>
            <w:shd w:val="clear" w:color="auto" w:fill="auto"/>
            <w:noWrap/>
            <w:vAlign w:val="bottom"/>
            <w:hideMark/>
          </w:tcPr>
          <w:p w14:paraId="4993D71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278</w:t>
            </w:r>
          </w:p>
        </w:tc>
        <w:tc>
          <w:tcPr>
            <w:tcW w:w="709" w:type="dxa"/>
            <w:tcBorders>
              <w:top w:val="nil"/>
              <w:left w:val="nil"/>
              <w:bottom w:val="nil"/>
              <w:right w:val="nil"/>
            </w:tcBorders>
            <w:shd w:val="clear" w:color="auto" w:fill="auto"/>
            <w:noWrap/>
            <w:vAlign w:val="bottom"/>
            <w:hideMark/>
          </w:tcPr>
          <w:p w14:paraId="47AE654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-47%</w:t>
            </w:r>
          </w:p>
        </w:tc>
      </w:tr>
      <w:tr w:rsidR="0064654E" w:rsidRPr="0064654E" w14:paraId="5ECA56F6" w14:textId="77777777" w:rsidTr="0064654E">
        <w:trPr>
          <w:trHeight w:val="20"/>
        </w:trPr>
        <w:tc>
          <w:tcPr>
            <w:tcW w:w="1418" w:type="dxa"/>
            <w:tcBorders>
              <w:top w:val="nil"/>
              <w:left w:val="nil"/>
              <w:bottom w:val="nil"/>
              <w:right w:val="nil"/>
            </w:tcBorders>
            <w:shd w:val="clear" w:color="000000" w:fill="D9D9D9"/>
            <w:noWrap/>
            <w:vAlign w:val="bottom"/>
            <w:hideMark/>
          </w:tcPr>
          <w:p w14:paraId="674EC178"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北部</w:t>
            </w:r>
          </w:p>
        </w:tc>
        <w:tc>
          <w:tcPr>
            <w:tcW w:w="993" w:type="dxa"/>
            <w:tcBorders>
              <w:top w:val="nil"/>
              <w:left w:val="single" w:sz="4" w:space="0" w:color="auto"/>
              <w:bottom w:val="nil"/>
              <w:right w:val="nil"/>
            </w:tcBorders>
            <w:shd w:val="clear" w:color="000000" w:fill="D9D9D9"/>
            <w:noWrap/>
            <w:vAlign w:val="bottom"/>
            <w:hideMark/>
          </w:tcPr>
          <w:p w14:paraId="5360F5A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193,633</w:t>
            </w:r>
          </w:p>
        </w:tc>
        <w:tc>
          <w:tcPr>
            <w:tcW w:w="708" w:type="dxa"/>
            <w:tcBorders>
              <w:top w:val="nil"/>
              <w:left w:val="nil"/>
              <w:bottom w:val="nil"/>
              <w:right w:val="nil"/>
            </w:tcBorders>
            <w:shd w:val="clear" w:color="000000" w:fill="D9D9D9"/>
            <w:noWrap/>
            <w:vAlign w:val="bottom"/>
            <w:hideMark/>
          </w:tcPr>
          <w:p w14:paraId="49BCF86F"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-6%</w:t>
            </w:r>
          </w:p>
        </w:tc>
        <w:tc>
          <w:tcPr>
            <w:tcW w:w="851" w:type="dxa"/>
            <w:tcBorders>
              <w:top w:val="nil"/>
              <w:left w:val="nil"/>
              <w:bottom w:val="nil"/>
              <w:right w:val="nil"/>
            </w:tcBorders>
            <w:shd w:val="clear" w:color="000000" w:fill="D9D9D9"/>
            <w:noWrap/>
            <w:vAlign w:val="bottom"/>
            <w:hideMark/>
          </w:tcPr>
          <w:p w14:paraId="7193A25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-34%</w:t>
            </w:r>
          </w:p>
        </w:tc>
        <w:tc>
          <w:tcPr>
            <w:tcW w:w="711" w:type="dxa"/>
            <w:tcBorders>
              <w:top w:val="nil"/>
              <w:left w:val="single" w:sz="4" w:space="0" w:color="auto"/>
              <w:bottom w:val="nil"/>
              <w:right w:val="nil"/>
            </w:tcBorders>
            <w:shd w:val="clear" w:color="000000" w:fill="D9D9D9"/>
            <w:noWrap/>
            <w:vAlign w:val="bottom"/>
            <w:hideMark/>
          </w:tcPr>
          <w:p w14:paraId="47C7287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786</w:t>
            </w:r>
          </w:p>
        </w:tc>
        <w:tc>
          <w:tcPr>
            <w:tcW w:w="756" w:type="dxa"/>
            <w:tcBorders>
              <w:top w:val="nil"/>
              <w:left w:val="nil"/>
              <w:bottom w:val="nil"/>
              <w:right w:val="nil"/>
            </w:tcBorders>
            <w:shd w:val="clear" w:color="000000" w:fill="D9D9D9"/>
            <w:noWrap/>
            <w:vAlign w:val="bottom"/>
            <w:hideMark/>
          </w:tcPr>
          <w:p w14:paraId="3E69114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331%</w:t>
            </w:r>
          </w:p>
        </w:tc>
        <w:tc>
          <w:tcPr>
            <w:tcW w:w="666" w:type="dxa"/>
            <w:tcBorders>
              <w:top w:val="nil"/>
              <w:left w:val="nil"/>
              <w:bottom w:val="nil"/>
              <w:right w:val="nil"/>
            </w:tcBorders>
            <w:shd w:val="clear" w:color="000000" w:fill="D9D9D9"/>
            <w:noWrap/>
            <w:vAlign w:val="bottom"/>
            <w:hideMark/>
          </w:tcPr>
          <w:p w14:paraId="5FC8069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-44%</w:t>
            </w:r>
          </w:p>
        </w:tc>
        <w:tc>
          <w:tcPr>
            <w:tcW w:w="702" w:type="dxa"/>
            <w:tcBorders>
              <w:top w:val="nil"/>
              <w:left w:val="single" w:sz="4" w:space="0" w:color="auto"/>
              <w:bottom w:val="nil"/>
              <w:right w:val="nil"/>
            </w:tcBorders>
            <w:shd w:val="clear" w:color="000000" w:fill="D9D9D9"/>
            <w:noWrap/>
            <w:vAlign w:val="bottom"/>
            <w:hideMark/>
          </w:tcPr>
          <w:p w14:paraId="17B2959F"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95</w:t>
            </w:r>
          </w:p>
        </w:tc>
        <w:tc>
          <w:tcPr>
            <w:tcW w:w="666" w:type="dxa"/>
            <w:tcBorders>
              <w:top w:val="nil"/>
              <w:left w:val="nil"/>
              <w:bottom w:val="nil"/>
              <w:right w:val="nil"/>
            </w:tcBorders>
            <w:shd w:val="clear" w:color="000000" w:fill="D9D9D9"/>
            <w:noWrap/>
            <w:vAlign w:val="bottom"/>
            <w:hideMark/>
          </w:tcPr>
          <w:p w14:paraId="3922AD6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68%</w:t>
            </w:r>
          </w:p>
        </w:tc>
        <w:tc>
          <w:tcPr>
            <w:tcW w:w="666" w:type="dxa"/>
            <w:tcBorders>
              <w:top w:val="nil"/>
              <w:left w:val="nil"/>
              <w:bottom w:val="nil"/>
              <w:right w:val="nil"/>
            </w:tcBorders>
            <w:shd w:val="clear" w:color="000000" w:fill="D9D9D9"/>
            <w:noWrap/>
            <w:vAlign w:val="bottom"/>
            <w:hideMark/>
          </w:tcPr>
          <w:p w14:paraId="026354E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-30%</w:t>
            </w:r>
          </w:p>
        </w:tc>
        <w:tc>
          <w:tcPr>
            <w:tcW w:w="794" w:type="dxa"/>
            <w:tcBorders>
              <w:top w:val="nil"/>
              <w:left w:val="single" w:sz="4" w:space="0" w:color="auto"/>
              <w:bottom w:val="nil"/>
              <w:right w:val="nil"/>
            </w:tcBorders>
            <w:shd w:val="clear" w:color="000000" w:fill="D9D9D9"/>
            <w:noWrap/>
            <w:vAlign w:val="bottom"/>
            <w:hideMark/>
          </w:tcPr>
          <w:p w14:paraId="37BD383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1,585</w:t>
            </w:r>
          </w:p>
        </w:tc>
        <w:tc>
          <w:tcPr>
            <w:tcW w:w="709" w:type="dxa"/>
            <w:tcBorders>
              <w:top w:val="nil"/>
              <w:left w:val="nil"/>
              <w:bottom w:val="nil"/>
              <w:right w:val="nil"/>
            </w:tcBorders>
            <w:shd w:val="clear" w:color="000000" w:fill="D9D9D9"/>
            <w:noWrap/>
            <w:vAlign w:val="bottom"/>
            <w:hideMark/>
          </w:tcPr>
          <w:p w14:paraId="7122CAC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-55%</w:t>
            </w:r>
          </w:p>
        </w:tc>
      </w:tr>
      <w:tr w:rsidR="0064654E" w:rsidRPr="0064654E" w14:paraId="782B1F22" w14:textId="77777777" w:rsidTr="0064654E">
        <w:trPr>
          <w:trHeight w:val="20"/>
        </w:trPr>
        <w:tc>
          <w:tcPr>
            <w:tcW w:w="1418" w:type="dxa"/>
            <w:tcBorders>
              <w:top w:val="nil"/>
              <w:left w:val="nil"/>
              <w:bottom w:val="nil"/>
              <w:right w:val="nil"/>
            </w:tcBorders>
            <w:shd w:val="clear" w:color="auto" w:fill="auto"/>
            <w:noWrap/>
            <w:vAlign w:val="bottom"/>
            <w:hideMark/>
          </w:tcPr>
          <w:p w14:paraId="13770266"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武汉</w:t>
            </w:r>
          </w:p>
        </w:tc>
        <w:tc>
          <w:tcPr>
            <w:tcW w:w="993" w:type="dxa"/>
            <w:tcBorders>
              <w:top w:val="nil"/>
              <w:left w:val="single" w:sz="4" w:space="0" w:color="auto"/>
              <w:bottom w:val="nil"/>
              <w:right w:val="nil"/>
            </w:tcBorders>
            <w:shd w:val="clear" w:color="auto" w:fill="auto"/>
            <w:noWrap/>
            <w:vAlign w:val="bottom"/>
            <w:hideMark/>
          </w:tcPr>
          <w:p w14:paraId="57A3AD2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34,245</w:t>
            </w:r>
          </w:p>
        </w:tc>
        <w:tc>
          <w:tcPr>
            <w:tcW w:w="708" w:type="dxa"/>
            <w:tcBorders>
              <w:top w:val="nil"/>
              <w:left w:val="nil"/>
              <w:bottom w:val="nil"/>
              <w:right w:val="nil"/>
            </w:tcBorders>
            <w:shd w:val="clear" w:color="auto" w:fill="auto"/>
            <w:noWrap/>
            <w:vAlign w:val="bottom"/>
            <w:hideMark/>
          </w:tcPr>
          <w:p w14:paraId="3D37013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w:t>
            </w:r>
          </w:p>
        </w:tc>
        <w:tc>
          <w:tcPr>
            <w:tcW w:w="851" w:type="dxa"/>
            <w:tcBorders>
              <w:top w:val="nil"/>
              <w:left w:val="nil"/>
              <w:bottom w:val="nil"/>
              <w:right w:val="nil"/>
            </w:tcBorders>
            <w:shd w:val="clear" w:color="auto" w:fill="auto"/>
            <w:noWrap/>
            <w:vAlign w:val="bottom"/>
            <w:hideMark/>
          </w:tcPr>
          <w:p w14:paraId="0237915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-92%</w:t>
            </w:r>
          </w:p>
        </w:tc>
        <w:tc>
          <w:tcPr>
            <w:tcW w:w="711" w:type="dxa"/>
            <w:tcBorders>
              <w:top w:val="nil"/>
              <w:left w:val="single" w:sz="4" w:space="0" w:color="auto"/>
              <w:bottom w:val="nil"/>
              <w:right w:val="nil"/>
            </w:tcBorders>
            <w:shd w:val="clear" w:color="auto" w:fill="auto"/>
            <w:noWrap/>
            <w:vAlign w:val="bottom"/>
            <w:hideMark/>
          </w:tcPr>
          <w:p w14:paraId="28CEE2E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34</w:t>
            </w:r>
          </w:p>
        </w:tc>
        <w:tc>
          <w:tcPr>
            <w:tcW w:w="756" w:type="dxa"/>
            <w:tcBorders>
              <w:top w:val="nil"/>
              <w:left w:val="nil"/>
              <w:bottom w:val="nil"/>
              <w:right w:val="nil"/>
            </w:tcBorders>
            <w:shd w:val="clear" w:color="auto" w:fill="auto"/>
            <w:noWrap/>
            <w:vAlign w:val="bottom"/>
            <w:hideMark/>
          </w:tcPr>
          <w:p w14:paraId="23E3E29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w:t>
            </w:r>
          </w:p>
        </w:tc>
        <w:tc>
          <w:tcPr>
            <w:tcW w:w="666" w:type="dxa"/>
            <w:tcBorders>
              <w:top w:val="nil"/>
              <w:left w:val="nil"/>
              <w:bottom w:val="nil"/>
              <w:right w:val="nil"/>
            </w:tcBorders>
            <w:shd w:val="clear" w:color="auto" w:fill="auto"/>
            <w:noWrap/>
            <w:vAlign w:val="bottom"/>
            <w:hideMark/>
          </w:tcPr>
          <w:p w14:paraId="78793C9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-98%</w:t>
            </w:r>
          </w:p>
        </w:tc>
        <w:tc>
          <w:tcPr>
            <w:tcW w:w="702" w:type="dxa"/>
            <w:tcBorders>
              <w:top w:val="nil"/>
              <w:left w:val="single" w:sz="4" w:space="0" w:color="auto"/>
              <w:bottom w:val="nil"/>
              <w:right w:val="nil"/>
            </w:tcBorders>
            <w:shd w:val="clear" w:color="auto" w:fill="auto"/>
            <w:noWrap/>
            <w:vAlign w:val="bottom"/>
            <w:hideMark/>
          </w:tcPr>
          <w:p w14:paraId="5E17008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26</w:t>
            </w:r>
          </w:p>
        </w:tc>
        <w:tc>
          <w:tcPr>
            <w:tcW w:w="666" w:type="dxa"/>
            <w:tcBorders>
              <w:top w:val="nil"/>
              <w:left w:val="nil"/>
              <w:bottom w:val="nil"/>
              <w:right w:val="nil"/>
            </w:tcBorders>
            <w:shd w:val="clear" w:color="auto" w:fill="auto"/>
            <w:noWrap/>
            <w:vAlign w:val="bottom"/>
            <w:hideMark/>
          </w:tcPr>
          <w:p w14:paraId="337BABA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w:t>
            </w:r>
          </w:p>
        </w:tc>
        <w:tc>
          <w:tcPr>
            <w:tcW w:w="666" w:type="dxa"/>
            <w:tcBorders>
              <w:top w:val="nil"/>
              <w:left w:val="nil"/>
              <w:bottom w:val="nil"/>
              <w:right w:val="nil"/>
            </w:tcBorders>
            <w:shd w:val="clear" w:color="auto" w:fill="auto"/>
            <w:noWrap/>
            <w:vAlign w:val="bottom"/>
            <w:hideMark/>
          </w:tcPr>
          <w:p w14:paraId="2A76295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-88%</w:t>
            </w:r>
          </w:p>
        </w:tc>
        <w:tc>
          <w:tcPr>
            <w:tcW w:w="794" w:type="dxa"/>
            <w:tcBorders>
              <w:top w:val="nil"/>
              <w:left w:val="single" w:sz="4" w:space="0" w:color="auto"/>
              <w:bottom w:val="nil"/>
              <w:right w:val="nil"/>
            </w:tcBorders>
            <w:shd w:val="clear" w:color="auto" w:fill="auto"/>
            <w:noWrap/>
            <w:vAlign w:val="bottom"/>
            <w:hideMark/>
          </w:tcPr>
          <w:p w14:paraId="121D0DD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1,383</w:t>
            </w:r>
          </w:p>
        </w:tc>
        <w:tc>
          <w:tcPr>
            <w:tcW w:w="709" w:type="dxa"/>
            <w:tcBorders>
              <w:top w:val="nil"/>
              <w:left w:val="nil"/>
              <w:bottom w:val="nil"/>
              <w:right w:val="nil"/>
            </w:tcBorders>
            <w:shd w:val="clear" w:color="auto" w:fill="auto"/>
            <w:noWrap/>
            <w:vAlign w:val="bottom"/>
            <w:hideMark/>
          </w:tcPr>
          <w:p w14:paraId="7FA8575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-63%</w:t>
            </w:r>
          </w:p>
        </w:tc>
      </w:tr>
      <w:tr w:rsidR="0064654E" w:rsidRPr="0064654E" w14:paraId="2721A00B" w14:textId="77777777" w:rsidTr="0064654E">
        <w:trPr>
          <w:trHeight w:val="20"/>
        </w:trPr>
        <w:tc>
          <w:tcPr>
            <w:tcW w:w="1418" w:type="dxa"/>
            <w:tcBorders>
              <w:top w:val="nil"/>
              <w:left w:val="nil"/>
              <w:bottom w:val="nil"/>
              <w:right w:val="nil"/>
            </w:tcBorders>
            <w:shd w:val="clear" w:color="auto" w:fill="auto"/>
            <w:noWrap/>
            <w:vAlign w:val="bottom"/>
            <w:hideMark/>
          </w:tcPr>
          <w:p w14:paraId="295651AA"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岳阳</w:t>
            </w:r>
          </w:p>
        </w:tc>
        <w:tc>
          <w:tcPr>
            <w:tcW w:w="993" w:type="dxa"/>
            <w:tcBorders>
              <w:top w:val="nil"/>
              <w:left w:val="single" w:sz="4" w:space="0" w:color="auto"/>
              <w:bottom w:val="nil"/>
              <w:right w:val="nil"/>
            </w:tcBorders>
            <w:shd w:val="clear" w:color="auto" w:fill="auto"/>
            <w:noWrap/>
            <w:vAlign w:val="bottom"/>
            <w:hideMark/>
          </w:tcPr>
          <w:p w14:paraId="6F87B96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34,690</w:t>
            </w:r>
          </w:p>
        </w:tc>
        <w:tc>
          <w:tcPr>
            <w:tcW w:w="708" w:type="dxa"/>
            <w:tcBorders>
              <w:top w:val="nil"/>
              <w:left w:val="nil"/>
              <w:bottom w:val="nil"/>
              <w:right w:val="nil"/>
            </w:tcBorders>
            <w:shd w:val="clear" w:color="auto" w:fill="auto"/>
            <w:noWrap/>
            <w:vAlign w:val="bottom"/>
            <w:hideMark/>
          </w:tcPr>
          <w:p w14:paraId="44E08BA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w:t>
            </w:r>
          </w:p>
        </w:tc>
        <w:tc>
          <w:tcPr>
            <w:tcW w:w="851" w:type="dxa"/>
            <w:tcBorders>
              <w:top w:val="nil"/>
              <w:left w:val="nil"/>
              <w:bottom w:val="nil"/>
              <w:right w:val="nil"/>
            </w:tcBorders>
            <w:shd w:val="clear" w:color="auto" w:fill="auto"/>
            <w:noWrap/>
            <w:vAlign w:val="bottom"/>
            <w:hideMark/>
          </w:tcPr>
          <w:p w14:paraId="755B04A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-36%</w:t>
            </w:r>
          </w:p>
        </w:tc>
        <w:tc>
          <w:tcPr>
            <w:tcW w:w="711" w:type="dxa"/>
            <w:tcBorders>
              <w:top w:val="nil"/>
              <w:left w:val="single" w:sz="4" w:space="0" w:color="auto"/>
              <w:bottom w:val="nil"/>
              <w:right w:val="nil"/>
            </w:tcBorders>
            <w:shd w:val="clear" w:color="auto" w:fill="auto"/>
            <w:noWrap/>
            <w:vAlign w:val="bottom"/>
            <w:hideMark/>
          </w:tcPr>
          <w:p w14:paraId="3FCE32D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136</w:t>
            </w:r>
          </w:p>
        </w:tc>
        <w:tc>
          <w:tcPr>
            <w:tcW w:w="756" w:type="dxa"/>
            <w:tcBorders>
              <w:top w:val="nil"/>
              <w:left w:val="nil"/>
              <w:bottom w:val="nil"/>
              <w:right w:val="nil"/>
            </w:tcBorders>
            <w:shd w:val="clear" w:color="auto" w:fill="auto"/>
            <w:noWrap/>
            <w:vAlign w:val="bottom"/>
            <w:hideMark/>
          </w:tcPr>
          <w:p w14:paraId="64822B1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347%</w:t>
            </w:r>
          </w:p>
        </w:tc>
        <w:tc>
          <w:tcPr>
            <w:tcW w:w="666" w:type="dxa"/>
            <w:tcBorders>
              <w:top w:val="nil"/>
              <w:left w:val="nil"/>
              <w:bottom w:val="nil"/>
              <w:right w:val="nil"/>
            </w:tcBorders>
            <w:shd w:val="clear" w:color="auto" w:fill="auto"/>
            <w:noWrap/>
            <w:vAlign w:val="bottom"/>
            <w:hideMark/>
          </w:tcPr>
          <w:p w14:paraId="70BCE7C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-23%</w:t>
            </w:r>
          </w:p>
        </w:tc>
        <w:tc>
          <w:tcPr>
            <w:tcW w:w="702" w:type="dxa"/>
            <w:tcBorders>
              <w:top w:val="nil"/>
              <w:left w:val="single" w:sz="4" w:space="0" w:color="auto"/>
              <w:bottom w:val="nil"/>
              <w:right w:val="nil"/>
            </w:tcBorders>
            <w:shd w:val="clear" w:color="auto" w:fill="auto"/>
            <w:noWrap/>
            <w:vAlign w:val="bottom"/>
            <w:hideMark/>
          </w:tcPr>
          <w:p w14:paraId="1A149AE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w:t>
            </w:r>
          </w:p>
        </w:tc>
        <w:tc>
          <w:tcPr>
            <w:tcW w:w="666" w:type="dxa"/>
            <w:tcBorders>
              <w:top w:val="nil"/>
              <w:left w:val="nil"/>
              <w:bottom w:val="nil"/>
              <w:right w:val="nil"/>
            </w:tcBorders>
            <w:shd w:val="clear" w:color="auto" w:fill="auto"/>
            <w:noWrap/>
            <w:vAlign w:val="bottom"/>
            <w:hideMark/>
          </w:tcPr>
          <w:p w14:paraId="23867EA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102%</w:t>
            </w:r>
          </w:p>
        </w:tc>
        <w:tc>
          <w:tcPr>
            <w:tcW w:w="666" w:type="dxa"/>
            <w:tcBorders>
              <w:top w:val="nil"/>
              <w:left w:val="nil"/>
              <w:bottom w:val="nil"/>
              <w:right w:val="nil"/>
            </w:tcBorders>
            <w:shd w:val="clear" w:color="auto" w:fill="auto"/>
            <w:noWrap/>
            <w:vAlign w:val="bottom"/>
            <w:hideMark/>
          </w:tcPr>
          <w:p w14:paraId="79B4DEF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-53%</w:t>
            </w:r>
          </w:p>
        </w:tc>
        <w:tc>
          <w:tcPr>
            <w:tcW w:w="794" w:type="dxa"/>
            <w:tcBorders>
              <w:top w:val="nil"/>
              <w:left w:val="single" w:sz="4" w:space="0" w:color="auto"/>
              <w:bottom w:val="nil"/>
              <w:right w:val="nil"/>
            </w:tcBorders>
            <w:shd w:val="clear" w:color="auto" w:fill="auto"/>
            <w:noWrap/>
            <w:vAlign w:val="bottom"/>
            <w:hideMark/>
          </w:tcPr>
          <w:p w14:paraId="2ADAD34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310</w:t>
            </w:r>
          </w:p>
        </w:tc>
        <w:tc>
          <w:tcPr>
            <w:tcW w:w="709" w:type="dxa"/>
            <w:tcBorders>
              <w:top w:val="nil"/>
              <w:left w:val="nil"/>
              <w:bottom w:val="nil"/>
              <w:right w:val="nil"/>
            </w:tcBorders>
            <w:shd w:val="clear" w:color="auto" w:fill="auto"/>
            <w:noWrap/>
            <w:vAlign w:val="bottom"/>
            <w:hideMark/>
          </w:tcPr>
          <w:p w14:paraId="27E8C02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-25%</w:t>
            </w:r>
          </w:p>
        </w:tc>
      </w:tr>
      <w:tr w:rsidR="0064654E" w:rsidRPr="0064654E" w14:paraId="45EF2FF8" w14:textId="77777777" w:rsidTr="0064654E">
        <w:trPr>
          <w:trHeight w:val="20"/>
        </w:trPr>
        <w:tc>
          <w:tcPr>
            <w:tcW w:w="1418" w:type="dxa"/>
            <w:tcBorders>
              <w:top w:val="nil"/>
              <w:left w:val="nil"/>
              <w:bottom w:val="nil"/>
              <w:right w:val="nil"/>
            </w:tcBorders>
            <w:shd w:val="clear" w:color="auto" w:fill="auto"/>
            <w:noWrap/>
            <w:vAlign w:val="bottom"/>
            <w:hideMark/>
          </w:tcPr>
          <w:p w14:paraId="50059F16"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赣州</w:t>
            </w:r>
          </w:p>
        </w:tc>
        <w:tc>
          <w:tcPr>
            <w:tcW w:w="993" w:type="dxa"/>
            <w:tcBorders>
              <w:top w:val="nil"/>
              <w:left w:val="single" w:sz="4" w:space="0" w:color="auto"/>
              <w:bottom w:val="nil"/>
              <w:right w:val="nil"/>
            </w:tcBorders>
            <w:shd w:val="clear" w:color="auto" w:fill="auto"/>
            <w:noWrap/>
            <w:vAlign w:val="bottom"/>
            <w:hideMark/>
          </w:tcPr>
          <w:p w14:paraId="02B4E7B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122,923</w:t>
            </w:r>
          </w:p>
        </w:tc>
        <w:tc>
          <w:tcPr>
            <w:tcW w:w="708" w:type="dxa"/>
            <w:tcBorders>
              <w:top w:val="nil"/>
              <w:left w:val="nil"/>
              <w:bottom w:val="nil"/>
              <w:right w:val="nil"/>
            </w:tcBorders>
            <w:shd w:val="clear" w:color="auto" w:fill="auto"/>
            <w:noWrap/>
            <w:vAlign w:val="bottom"/>
            <w:hideMark/>
          </w:tcPr>
          <w:p w14:paraId="7129E6F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-18%</w:t>
            </w:r>
          </w:p>
        </w:tc>
        <w:tc>
          <w:tcPr>
            <w:tcW w:w="851" w:type="dxa"/>
            <w:tcBorders>
              <w:top w:val="nil"/>
              <w:left w:val="nil"/>
              <w:bottom w:val="nil"/>
              <w:right w:val="nil"/>
            </w:tcBorders>
            <w:shd w:val="clear" w:color="auto" w:fill="auto"/>
            <w:noWrap/>
            <w:vAlign w:val="bottom"/>
            <w:hideMark/>
          </w:tcPr>
          <w:p w14:paraId="6F8F68C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w:t>
            </w:r>
          </w:p>
        </w:tc>
        <w:tc>
          <w:tcPr>
            <w:tcW w:w="711" w:type="dxa"/>
            <w:tcBorders>
              <w:top w:val="nil"/>
              <w:left w:val="single" w:sz="4" w:space="0" w:color="auto"/>
              <w:bottom w:val="nil"/>
              <w:right w:val="nil"/>
            </w:tcBorders>
            <w:shd w:val="clear" w:color="auto" w:fill="auto"/>
            <w:noWrap/>
            <w:vAlign w:val="bottom"/>
            <w:hideMark/>
          </w:tcPr>
          <w:p w14:paraId="6BB293C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689</w:t>
            </w:r>
          </w:p>
        </w:tc>
        <w:tc>
          <w:tcPr>
            <w:tcW w:w="756" w:type="dxa"/>
            <w:tcBorders>
              <w:top w:val="nil"/>
              <w:left w:val="nil"/>
              <w:bottom w:val="nil"/>
              <w:right w:val="nil"/>
            </w:tcBorders>
            <w:shd w:val="clear" w:color="auto" w:fill="auto"/>
            <w:noWrap/>
            <w:vAlign w:val="bottom"/>
            <w:hideMark/>
          </w:tcPr>
          <w:p w14:paraId="3CDCD14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152%</w:t>
            </w:r>
          </w:p>
        </w:tc>
        <w:tc>
          <w:tcPr>
            <w:tcW w:w="666" w:type="dxa"/>
            <w:tcBorders>
              <w:top w:val="nil"/>
              <w:left w:val="nil"/>
              <w:bottom w:val="nil"/>
              <w:right w:val="nil"/>
            </w:tcBorders>
            <w:shd w:val="clear" w:color="auto" w:fill="auto"/>
            <w:noWrap/>
            <w:vAlign w:val="bottom"/>
            <w:hideMark/>
          </w:tcPr>
          <w:p w14:paraId="7E5648D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0%</w:t>
            </w:r>
          </w:p>
        </w:tc>
        <w:tc>
          <w:tcPr>
            <w:tcW w:w="702" w:type="dxa"/>
            <w:tcBorders>
              <w:top w:val="nil"/>
              <w:left w:val="single" w:sz="4" w:space="0" w:color="auto"/>
              <w:bottom w:val="nil"/>
              <w:right w:val="nil"/>
            </w:tcBorders>
            <w:shd w:val="clear" w:color="auto" w:fill="auto"/>
            <w:noWrap/>
            <w:vAlign w:val="bottom"/>
            <w:hideMark/>
          </w:tcPr>
          <w:p w14:paraId="4F365AF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40</w:t>
            </w:r>
          </w:p>
        </w:tc>
        <w:tc>
          <w:tcPr>
            <w:tcW w:w="666" w:type="dxa"/>
            <w:tcBorders>
              <w:top w:val="nil"/>
              <w:left w:val="nil"/>
              <w:bottom w:val="nil"/>
              <w:right w:val="nil"/>
            </w:tcBorders>
            <w:shd w:val="clear" w:color="auto" w:fill="auto"/>
            <w:noWrap/>
            <w:vAlign w:val="bottom"/>
            <w:hideMark/>
          </w:tcPr>
          <w:p w14:paraId="734BB7C6"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-72%</w:t>
            </w:r>
          </w:p>
        </w:tc>
        <w:tc>
          <w:tcPr>
            <w:tcW w:w="666" w:type="dxa"/>
            <w:tcBorders>
              <w:top w:val="nil"/>
              <w:left w:val="nil"/>
              <w:bottom w:val="nil"/>
              <w:right w:val="nil"/>
            </w:tcBorders>
            <w:shd w:val="clear" w:color="auto" w:fill="auto"/>
            <w:noWrap/>
            <w:vAlign w:val="bottom"/>
            <w:hideMark/>
          </w:tcPr>
          <w:p w14:paraId="3AD61A2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-53%</w:t>
            </w:r>
          </w:p>
        </w:tc>
        <w:tc>
          <w:tcPr>
            <w:tcW w:w="794" w:type="dxa"/>
            <w:tcBorders>
              <w:top w:val="nil"/>
              <w:left w:val="single" w:sz="4" w:space="0" w:color="auto"/>
              <w:bottom w:val="nil"/>
              <w:right w:val="nil"/>
            </w:tcBorders>
            <w:shd w:val="clear" w:color="auto" w:fill="auto"/>
            <w:noWrap/>
            <w:vAlign w:val="bottom"/>
            <w:hideMark/>
          </w:tcPr>
          <w:p w14:paraId="42B6CB8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1,528</w:t>
            </w:r>
          </w:p>
        </w:tc>
        <w:tc>
          <w:tcPr>
            <w:tcW w:w="709" w:type="dxa"/>
            <w:tcBorders>
              <w:top w:val="nil"/>
              <w:left w:val="nil"/>
              <w:bottom w:val="nil"/>
              <w:right w:val="nil"/>
            </w:tcBorders>
            <w:shd w:val="clear" w:color="auto" w:fill="auto"/>
            <w:noWrap/>
            <w:vAlign w:val="bottom"/>
            <w:hideMark/>
          </w:tcPr>
          <w:p w14:paraId="79AB913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-28%</w:t>
            </w:r>
          </w:p>
        </w:tc>
      </w:tr>
      <w:tr w:rsidR="0064654E" w:rsidRPr="0064654E" w14:paraId="109B3A84" w14:textId="77777777" w:rsidTr="0064654E">
        <w:trPr>
          <w:trHeight w:val="20"/>
        </w:trPr>
        <w:tc>
          <w:tcPr>
            <w:tcW w:w="1418" w:type="dxa"/>
            <w:tcBorders>
              <w:top w:val="nil"/>
              <w:left w:val="nil"/>
              <w:bottom w:val="nil"/>
              <w:right w:val="nil"/>
            </w:tcBorders>
            <w:shd w:val="clear" w:color="000000" w:fill="D9D9D9"/>
            <w:noWrap/>
            <w:vAlign w:val="bottom"/>
            <w:hideMark/>
          </w:tcPr>
          <w:p w14:paraId="0410051B"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中部</w:t>
            </w:r>
          </w:p>
        </w:tc>
        <w:tc>
          <w:tcPr>
            <w:tcW w:w="993" w:type="dxa"/>
            <w:tcBorders>
              <w:top w:val="nil"/>
              <w:left w:val="single" w:sz="4" w:space="0" w:color="auto"/>
              <w:bottom w:val="nil"/>
              <w:right w:val="nil"/>
            </w:tcBorders>
            <w:shd w:val="clear" w:color="000000" w:fill="D9D9D9"/>
            <w:noWrap/>
            <w:vAlign w:val="bottom"/>
            <w:hideMark/>
          </w:tcPr>
          <w:p w14:paraId="75A07F4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191,858</w:t>
            </w:r>
          </w:p>
        </w:tc>
        <w:tc>
          <w:tcPr>
            <w:tcW w:w="708" w:type="dxa"/>
            <w:tcBorders>
              <w:top w:val="nil"/>
              <w:left w:val="nil"/>
              <w:bottom w:val="nil"/>
              <w:right w:val="nil"/>
            </w:tcBorders>
            <w:shd w:val="clear" w:color="000000" w:fill="D9D9D9"/>
            <w:noWrap/>
            <w:vAlign w:val="bottom"/>
            <w:hideMark/>
          </w:tcPr>
          <w:p w14:paraId="293F8F8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w:t>
            </w:r>
          </w:p>
        </w:tc>
        <w:tc>
          <w:tcPr>
            <w:tcW w:w="851" w:type="dxa"/>
            <w:tcBorders>
              <w:top w:val="nil"/>
              <w:left w:val="nil"/>
              <w:bottom w:val="nil"/>
              <w:right w:val="nil"/>
            </w:tcBorders>
            <w:shd w:val="clear" w:color="000000" w:fill="D9D9D9"/>
            <w:noWrap/>
            <w:vAlign w:val="bottom"/>
            <w:hideMark/>
          </w:tcPr>
          <w:p w14:paraId="0672D61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-68%</w:t>
            </w:r>
          </w:p>
        </w:tc>
        <w:tc>
          <w:tcPr>
            <w:tcW w:w="711" w:type="dxa"/>
            <w:tcBorders>
              <w:top w:val="nil"/>
              <w:left w:val="single" w:sz="4" w:space="0" w:color="auto"/>
              <w:bottom w:val="nil"/>
              <w:right w:val="nil"/>
            </w:tcBorders>
            <w:shd w:val="clear" w:color="000000" w:fill="D9D9D9"/>
            <w:noWrap/>
            <w:vAlign w:val="bottom"/>
            <w:hideMark/>
          </w:tcPr>
          <w:p w14:paraId="7E8BD6D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860</w:t>
            </w:r>
          </w:p>
        </w:tc>
        <w:tc>
          <w:tcPr>
            <w:tcW w:w="756" w:type="dxa"/>
            <w:tcBorders>
              <w:top w:val="nil"/>
              <w:left w:val="nil"/>
              <w:bottom w:val="nil"/>
              <w:right w:val="nil"/>
            </w:tcBorders>
            <w:shd w:val="clear" w:color="000000" w:fill="D9D9D9"/>
            <w:noWrap/>
            <w:vAlign w:val="bottom"/>
            <w:hideMark/>
          </w:tcPr>
          <w:p w14:paraId="55BEEA6C"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183%</w:t>
            </w:r>
          </w:p>
        </w:tc>
        <w:tc>
          <w:tcPr>
            <w:tcW w:w="666" w:type="dxa"/>
            <w:tcBorders>
              <w:top w:val="nil"/>
              <w:left w:val="nil"/>
              <w:bottom w:val="nil"/>
              <w:right w:val="nil"/>
            </w:tcBorders>
            <w:shd w:val="clear" w:color="000000" w:fill="D9D9D9"/>
            <w:noWrap/>
            <w:vAlign w:val="bottom"/>
            <w:hideMark/>
          </w:tcPr>
          <w:p w14:paraId="1834211B"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-64%</w:t>
            </w:r>
          </w:p>
        </w:tc>
        <w:tc>
          <w:tcPr>
            <w:tcW w:w="702" w:type="dxa"/>
            <w:tcBorders>
              <w:top w:val="nil"/>
              <w:left w:val="single" w:sz="4" w:space="0" w:color="auto"/>
              <w:bottom w:val="nil"/>
              <w:right w:val="nil"/>
            </w:tcBorders>
            <w:shd w:val="clear" w:color="000000" w:fill="D9D9D9"/>
            <w:noWrap/>
            <w:vAlign w:val="bottom"/>
            <w:hideMark/>
          </w:tcPr>
          <w:p w14:paraId="22E6C38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78</w:t>
            </w:r>
          </w:p>
        </w:tc>
        <w:tc>
          <w:tcPr>
            <w:tcW w:w="666" w:type="dxa"/>
            <w:tcBorders>
              <w:top w:val="nil"/>
              <w:left w:val="nil"/>
              <w:bottom w:val="nil"/>
              <w:right w:val="nil"/>
            </w:tcBorders>
            <w:shd w:val="clear" w:color="000000" w:fill="D9D9D9"/>
            <w:noWrap/>
            <w:vAlign w:val="bottom"/>
            <w:hideMark/>
          </w:tcPr>
          <w:p w14:paraId="09E8E1A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-47%</w:t>
            </w:r>
          </w:p>
        </w:tc>
        <w:tc>
          <w:tcPr>
            <w:tcW w:w="666" w:type="dxa"/>
            <w:tcBorders>
              <w:top w:val="nil"/>
              <w:left w:val="nil"/>
              <w:bottom w:val="nil"/>
              <w:right w:val="nil"/>
            </w:tcBorders>
            <w:shd w:val="clear" w:color="000000" w:fill="D9D9D9"/>
            <w:noWrap/>
            <w:vAlign w:val="bottom"/>
            <w:hideMark/>
          </w:tcPr>
          <w:p w14:paraId="4625669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-77%</w:t>
            </w:r>
          </w:p>
        </w:tc>
        <w:tc>
          <w:tcPr>
            <w:tcW w:w="794" w:type="dxa"/>
            <w:tcBorders>
              <w:top w:val="nil"/>
              <w:left w:val="single" w:sz="4" w:space="0" w:color="auto"/>
              <w:bottom w:val="nil"/>
              <w:right w:val="nil"/>
            </w:tcBorders>
            <w:shd w:val="clear" w:color="000000" w:fill="D9D9D9"/>
            <w:noWrap/>
            <w:vAlign w:val="bottom"/>
            <w:hideMark/>
          </w:tcPr>
          <w:p w14:paraId="23DD54B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3,221</w:t>
            </w:r>
          </w:p>
        </w:tc>
        <w:tc>
          <w:tcPr>
            <w:tcW w:w="709" w:type="dxa"/>
            <w:tcBorders>
              <w:top w:val="nil"/>
              <w:left w:val="nil"/>
              <w:bottom w:val="nil"/>
              <w:right w:val="nil"/>
            </w:tcBorders>
            <w:shd w:val="clear" w:color="000000" w:fill="D9D9D9"/>
            <w:noWrap/>
            <w:vAlign w:val="bottom"/>
            <w:hideMark/>
          </w:tcPr>
          <w:p w14:paraId="7D07001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-49%</w:t>
            </w:r>
          </w:p>
        </w:tc>
      </w:tr>
      <w:tr w:rsidR="0064654E" w:rsidRPr="0064654E" w14:paraId="3C0B1AB1" w14:textId="77777777" w:rsidTr="0064654E">
        <w:trPr>
          <w:trHeight w:val="20"/>
        </w:trPr>
        <w:tc>
          <w:tcPr>
            <w:tcW w:w="1418" w:type="dxa"/>
            <w:tcBorders>
              <w:top w:val="nil"/>
              <w:left w:val="nil"/>
              <w:bottom w:val="nil"/>
              <w:right w:val="nil"/>
            </w:tcBorders>
            <w:shd w:val="clear" w:color="auto" w:fill="auto"/>
            <w:noWrap/>
            <w:vAlign w:val="bottom"/>
            <w:hideMark/>
          </w:tcPr>
          <w:p w14:paraId="2E208A6F"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成都</w:t>
            </w:r>
          </w:p>
        </w:tc>
        <w:tc>
          <w:tcPr>
            <w:tcW w:w="993" w:type="dxa"/>
            <w:tcBorders>
              <w:top w:val="nil"/>
              <w:left w:val="single" w:sz="4" w:space="0" w:color="auto"/>
              <w:bottom w:val="nil"/>
              <w:right w:val="nil"/>
            </w:tcBorders>
            <w:shd w:val="clear" w:color="auto" w:fill="auto"/>
            <w:noWrap/>
            <w:vAlign w:val="bottom"/>
            <w:hideMark/>
          </w:tcPr>
          <w:p w14:paraId="316B8BC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224,890</w:t>
            </w:r>
          </w:p>
        </w:tc>
        <w:tc>
          <w:tcPr>
            <w:tcW w:w="708" w:type="dxa"/>
            <w:tcBorders>
              <w:top w:val="nil"/>
              <w:left w:val="nil"/>
              <w:bottom w:val="nil"/>
              <w:right w:val="nil"/>
            </w:tcBorders>
            <w:shd w:val="clear" w:color="auto" w:fill="auto"/>
            <w:noWrap/>
            <w:vAlign w:val="bottom"/>
            <w:hideMark/>
          </w:tcPr>
          <w:p w14:paraId="05DF429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-36%</w:t>
            </w:r>
          </w:p>
        </w:tc>
        <w:tc>
          <w:tcPr>
            <w:tcW w:w="851" w:type="dxa"/>
            <w:tcBorders>
              <w:top w:val="nil"/>
              <w:left w:val="nil"/>
              <w:bottom w:val="nil"/>
              <w:right w:val="nil"/>
            </w:tcBorders>
            <w:shd w:val="clear" w:color="auto" w:fill="auto"/>
            <w:noWrap/>
            <w:vAlign w:val="bottom"/>
            <w:hideMark/>
          </w:tcPr>
          <w:p w14:paraId="610B66A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-35%</w:t>
            </w:r>
          </w:p>
        </w:tc>
        <w:tc>
          <w:tcPr>
            <w:tcW w:w="711" w:type="dxa"/>
            <w:tcBorders>
              <w:top w:val="nil"/>
              <w:left w:val="single" w:sz="4" w:space="0" w:color="auto"/>
              <w:bottom w:val="nil"/>
              <w:right w:val="nil"/>
            </w:tcBorders>
            <w:shd w:val="clear" w:color="auto" w:fill="auto"/>
            <w:noWrap/>
            <w:vAlign w:val="bottom"/>
            <w:hideMark/>
          </w:tcPr>
          <w:p w14:paraId="0D6D60B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1,511</w:t>
            </w:r>
          </w:p>
        </w:tc>
        <w:tc>
          <w:tcPr>
            <w:tcW w:w="756" w:type="dxa"/>
            <w:tcBorders>
              <w:top w:val="nil"/>
              <w:left w:val="nil"/>
              <w:bottom w:val="nil"/>
              <w:right w:val="nil"/>
            </w:tcBorders>
            <w:shd w:val="clear" w:color="auto" w:fill="auto"/>
            <w:noWrap/>
            <w:vAlign w:val="bottom"/>
            <w:hideMark/>
          </w:tcPr>
          <w:p w14:paraId="3825379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129%</w:t>
            </w:r>
          </w:p>
        </w:tc>
        <w:tc>
          <w:tcPr>
            <w:tcW w:w="666" w:type="dxa"/>
            <w:tcBorders>
              <w:top w:val="nil"/>
              <w:left w:val="nil"/>
              <w:bottom w:val="nil"/>
              <w:right w:val="nil"/>
            </w:tcBorders>
            <w:shd w:val="clear" w:color="auto" w:fill="auto"/>
            <w:noWrap/>
            <w:vAlign w:val="bottom"/>
            <w:hideMark/>
          </w:tcPr>
          <w:p w14:paraId="06D231D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w:t>
            </w:r>
          </w:p>
        </w:tc>
        <w:tc>
          <w:tcPr>
            <w:tcW w:w="702" w:type="dxa"/>
            <w:tcBorders>
              <w:top w:val="nil"/>
              <w:left w:val="single" w:sz="4" w:space="0" w:color="auto"/>
              <w:bottom w:val="nil"/>
              <w:right w:val="nil"/>
            </w:tcBorders>
            <w:shd w:val="clear" w:color="auto" w:fill="auto"/>
            <w:noWrap/>
            <w:vAlign w:val="bottom"/>
            <w:hideMark/>
          </w:tcPr>
          <w:p w14:paraId="48CDB48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144</w:t>
            </w:r>
          </w:p>
        </w:tc>
        <w:tc>
          <w:tcPr>
            <w:tcW w:w="666" w:type="dxa"/>
            <w:tcBorders>
              <w:top w:val="nil"/>
              <w:left w:val="nil"/>
              <w:bottom w:val="nil"/>
              <w:right w:val="nil"/>
            </w:tcBorders>
            <w:shd w:val="clear" w:color="auto" w:fill="auto"/>
            <w:noWrap/>
            <w:vAlign w:val="bottom"/>
            <w:hideMark/>
          </w:tcPr>
          <w:p w14:paraId="16929EB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-22%</w:t>
            </w:r>
          </w:p>
        </w:tc>
        <w:tc>
          <w:tcPr>
            <w:tcW w:w="666" w:type="dxa"/>
            <w:tcBorders>
              <w:top w:val="nil"/>
              <w:left w:val="nil"/>
              <w:bottom w:val="nil"/>
              <w:right w:val="nil"/>
            </w:tcBorders>
            <w:shd w:val="clear" w:color="auto" w:fill="auto"/>
            <w:noWrap/>
            <w:vAlign w:val="bottom"/>
            <w:hideMark/>
          </w:tcPr>
          <w:p w14:paraId="11DEC06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-32%</w:t>
            </w:r>
          </w:p>
        </w:tc>
        <w:tc>
          <w:tcPr>
            <w:tcW w:w="794" w:type="dxa"/>
            <w:tcBorders>
              <w:top w:val="nil"/>
              <w:left w:val="single" w:sz="4" w:space="0" w:color="auto"/>
              <w:bottom w:val="nil"/>
              <w:right w:val="nil"/>
            </w:tcBorders>
            <w:shd w:val="clear" w:color="auto" w:fill="auto"/>
            <w:noWrap/>
            <w:vAlign w:val="bottom"/>
            <w:hideMark/>
          </w:tcPr>
          <w:p w14:paraId="2986CEB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3,991</w:t>
            </w:r>
          </w:p>
        </w:tc>
        <w:tc>
          <w:tcPr>
            <w:tcW w:w="709" w:type="dxa"/>
            <w:tcBorders>
              <w:top w:val="nil"/>
              <w:left w:val="nil"/>
              <w:bottom w:val="nil"/>
              <w:right w:val="nil"/>
            </w:tcBorders>
            <w:shd w:val="clear" w:color="auto" w:fill="auto"/>
            <w:noWrap/>
            <w:vAlign w:val="bottom"/>
            <w:hideMark/>
          </w:tcPr>
          <w:p w14:paraId="33B4D98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-18%</w:t>
            </w:r>
          </w:p>
        </w:tc>
      </w:tr>
      <w:tr w:rsidR="0064654E" w:rsidRPr="0064654E" w14:paraId="20D3480C" w14:textId="77777777" w:rsidTr="0064654E">
        <w:trPr>
          <w:trHeight w:val="20"/>
        </w:trPr>
        <w:tc>
          <w:tcPr>
            <w:tcW w:w="1418" w:type="dxa"/>
            <w:tcBorders>
              <w:top w:val="nil"/>
              <w:left w:val="nil"/>
              <w:bottom w:val="nil"/>
              <w:right w:val="nil"/>
            </w:tcBorders>
            <w:shd w:val="clear" w:color="auto" w:fill="auto"/>
            <w:noWrap/>
            <w:vAlign w:val="bottom"/>
            <w:hideMark/>
          </w:tcPr>
          <w:p w14:paraId="110BC6AE" w14:textId="77777777" w:rsidR="0064654E" w:rsidRPr="0064654E" w:rsidRDefault="0064654E" w:rsidP="0064654E">
            <w:pPr>
              <w:spacing w:after="0" w:line="240" w:lineRule="auto"/>
              <w:ind w:right="0" w:firstLineChars="100" w:firstLine="180"/>
              <w:jc w:val="left"/>
              <w:outlineLvl w:val="0"/>
              <w:rPr>
                <w:rFonts w:eastAsia="宋体" w:cs="Times New Roman"/>
                <w:color w:val="000000"/>
                <w:sz w:val="18"/>
                <w:szCs w:val="18"/>
              </w:rPr>
            </w:pPr>
            <w:r w:rsidRPr="0064654E">
              <w:rPr>
                <w:rFonts w:ascii="楷体" w:hAnsi="楷体" w:cs="Times New Roman" w:hint="eastAsia"/>
                <w:color w:val="000000"/>
                <w:sz w:val="18"/>
                <w:szCs w:val="18"/>
              </w:rPr>
              <w:t>南宁</w:t>
            </w:r>
          </w:p>
        </w:tc>
        <w:tc>
          <w:tcPr>
            <w:tcW w:w="993" w:type="dxa"/>
            <w:tcBorders>
              <w:top w:val="nil"/>
              <w:left w:val="single" w:sz="4" w:space="0" w:color="auto"/>
              <w:bottom w:val="nil"/>
              <w:right w:val="nil"/>
            </w:tcBorders>
            <w:shd w:val="clear" w:color="auto" w:fill="auto"/>
            <w:noWrap/>
            <w:vAlign w:val="bottom"/>
            <w:hideMark/>
          </w:tcPr>
          <w:p w14:paraId="0BD1B48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294,341</w:t>
            </w:r>
          </w:p>
        </w:tc>
        <w:tc>
          <w:tcPr>
            <w:tcW w:w="708" w:type="dxa"/>
            <w:tcBorders>
              <w:top w:val="nil"/>
              <w:left w:val="nil"/>
              <w:bottom w:val="nil"/>
              <w:right w:val="nil"/>
            </w:tcBorders>
            <w:shd w:val="clear" w:color="auto" w:fill="auto"/>
            <w:noWrap/>
            <w:vAlign w:val="bottom"/>
            <w:hideMark/>
          </w:tcPr>
          <w:p w14:paraId="0707D5D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w:t>
            </w:r>
          </w:p>
        </w:tc>
        <w:tc>
          <w:tcPr>
            <w:tcW w:w="851" w:type="dxa"/>
            <w:tcBorders>
              <w:top w:val="nil"/>
              <w:left w:val="nil"/>
              <w:bottom w:val="nil"/>
              <w:right w:val="nil"/>
            </w:tcBorders>
            <w:shd w:val="clear" w:color="auto" w:fill="auto"/>
            <w:noWrap/>
            <w:vAlign w:val="bottom"/>
            <w:hideMark/>
          </w:tcPr>
          <w:p w14:paraId="52A4874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16%</w:t>
            </w:r>
          </w:p>
        </w:tc>
        <w:tc>
          <w:tcPr>
            <w:tcW w:w="711" w:type="dxa"/>
            <w:tcBorders>
              <w:top w:val="nil"/>
              <w:left w:val="single" w:sz="4" w:space="0" w:color="auto"/>
              <w:bottom w:val="nil"/>
              <w:right w:val="nil"/>
            </w:tcBorders>
            <w:shd w:val="clear" w:color="auto" w:fill="auto"/>
            <w:noWrap/>
            <w:vAlign w:val="bottom"/>
            <w:hideMark/>
          </w:tcPr>
          <w:p w14:paraId="0CE6A2A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905</w:t>
            </w:r>
          </w:p>
        </w:tc>
        <w:tc>
          <w:tcPr>
            <w:tcW w:w="756" w:type="dxa"/>
            <w:tcBorders>
              <w:top w:val="nil"/>
              <w:left w:val="nil"/>
              <w:bottom w:val="nil"/>
              <w:right w:val="nil"/>
            </w:tcBorders>
            <w:shd w:val="clear" w:color="auto" w:fill="auto"/>
            <w:noWrap/>
            <w:vAlign w:val="bottom"/>
            <w:hideMark/>
          </w:tcPr>
          <w:p w14:paraId="06F9F3A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521%</w:t>
            </w:r>
          </w:p>
        </w:tc>
        <w:tc>
          <w:tcPr>
            <w:tcW w:w="666" w:type="dxa"/>
            <w:tcBorders>
              <w:top w:val="nil"/>
              <w:left w:val="nil"/>
              <w:bottom w:val="nil"/>
              <w:right w:val="nil"/>
            </w:tcBorders>
            <w:shd w:val="clear" w:color="auto" w:fill="auto"/>
            <w:noWrap/>
            <w:vAlign w:val="bottom"/>
            <w:hideMark/>
          </w:tcPr>
          <w:p w14:paraId="3E04F62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w:t>
            </w:r>
          </w:p>
        </w:tc>
        <w:tc>
          <w:tcPr>
            <w:tcW w:w="702" w:type="dxa"/>
            <w:tcBorders>
              <w:top w:val="nil"/>
              <w:left w:val="single" w:sz="4" w:space="0" w:color="auto"/>
              <w:bottom w:val="nil"/>
              <w:right w:val="nil"/>
            </w:tcBorders>
            <w:shd w:val="clear" w:color="auto" w:fill="auto"/>
            <w:noWrap/>
            <w:vAlign w:val="bottom"/>
            <w:hideMark/>
          </w:tcPr>
          <w:p w14:paraId="5F632D1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102</w:t>
            </w:r>
          </w:p>
        </w:tc>
        <w:tc>
          <w:tcPr>
            <w:tcW w:w="666" w:type="dxa"/>
            <w:tcBorders>
              <w:top w:val="nil"/>
              <w:left w:val="nil"/>
              <w:bottom w:val="nil"/>
              <w:right w:val="nil"/>
            </w:tcBorders>
            <w:shd w:val="clear" w:color="auto" w:fill="auto"/>
            <w:noWrap/>
            <w:vAlign w:val="bottom"/>
            <w:hideMark/>
          </w:tcPr>
          <w:p w14:paraId="7AC6F5F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146%</w:t>
            </w:r>
          </w:p>
        </w:tc>
        <w:tc>
          <w:tcPr>
            <w:tcW w:w="666" w:type="dxa"/>
            <w:tcBorders>
              <w:top w:val="nil"/>
              <w:left w:val="nil"/>
              <w:bottom w:val="nil"/>
              <w:right w:val="nil"/>
            </w:tcBorders>
            <w:shd w:val="clear" w:color="auto" w:fill="auto"/>
            <w:noWrap/>
            <w:vAlign w:val="bottom"/>
            <w:hideMark/>
          </w:tcPr>
          <w:p w14:paraId="3DD81B8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w:t>
            </w:r>
          </w:p>
        </w:tc>
        <w:tc>
          <w:tcPr>
            <w:tcW w:w="794" w:type="dxa"/>
            <w:tcBorders>
              <w:top w:val="nil"/>
              <w:left w:val="single" w:sz="4" w:space="0" w:color="auto"/>
              <w:bottom w:val="nil"/>
              <w:right w:val="nil"/>
            </w:tcBorders>
            <w:shd w:val="clear" w:color="auto" w:fill="auto"/>
            <w:noWrap/>
            <w:vAlign w:val="bottom"/>
            <w:hideMark/>
          </w:tcPr>
          <w:p w14:paraId="26A475B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2,223</w:t>
            </w:r>
          </w:p>
        </w:tc>
        <w:tc>
          <w:tcPr>
            <w:tcW w:w="709" w:type="dxa"/>
            <w:tcBorders>
              <w:top w:val="nil"/>
              <w:left w:val="nil"/>
              <w:bottom w:val="nil"/>
              <w:right w:val="nil"/>
            </w:tcBorders>
            <w:shd w:val="clear" w:color="auto" w:fill="auto"/>
            <w:noWrap/>
            <w:vAlign w:val="bottom"/>
            <w:hideMark/>
          </w:tcPr>
          <w:p w14:paraId="0E45A4E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-39%</w:t>
            </w:r>
          </w:p>
        </w:tc>
      </w:tr>
      <w:tr w:rsidR="0064654E" w:rsidRPr="0064654E" w14:paraId="58735AED" w14:textId="77777777" w:rsidTr="0064654E">
        <w:trPr>
          <w:trHeight w:val="20"/>
        </w:trPr>
        <w:tc>
          <w:tcPr>
            <w:tcW w:w="1418" w:type="dxa"/>
            <w:tcBorders>
              <w:top w:val="nil"/>
              <w:left w:val="nil"/>
              <w:bottom w:val="nil"/>
              <w:right w:val="nil"/>
            </w:tcBorders>
            <w:shd w:val="clear" w:color="000000" w:fill="D9D9D9"/>
            <w:noWrap/>
            <w:vAlign w:val="bottom"/>
            <w:hideMark/>
          </w:tcPr>
          <w:p w14:paraId="647FB4F2"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西部</w:t>
            </w:r>
          </w:p>
        </w:tc>
        <w:tc>
          <w:tcPr>
            <w:tcW w:w="993" w:type="dxa"/>
            <w:tcBorders>
              <w:top w:val="nil"/>
              <w:left w:val="single" w:sz="4" w:space="0" w:color="auto"/>
              <w:bottom w:val="nil"/>
              <w:right w:val="nil"/>
            </w:tcBorders>
            <w:shd w:val="clear" w:color="000000" w:fill="D9D9D9"/>
            <w:noWrap/>
            <w:vAlign w:val="bottom"/>
            <w:hideMark/>
          </w:tcPr>
          <w:p w14:paraId="124D97C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519,231</w:t>
            </w:r>
          </w:p>
        </w:tc>
        <w:tc>
          <w:tcPr>
            <w:tcW w:w="708" w:type="dxa"/>
            <w:tcBorders>
              <w:top w:val="nil"/>
              <w:left w:val="nil"/>
              <w:bottom w:val="nil"/>
              <w:right w:val="nil"/>
            </w:tcBorders>
            <w:shd w:val="clear" w:color="000000" w:fill="D9D9D9"/>
            <w:noWrap/>
            <w:vAlign w:val="bottom"/>
            <w:hideMark/>
          </w:tcPr>
          <w:p w14:paraId="45C4B4C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-18%</w:t>
            </w:r>
          </w:p>
        </w:tc>
        <w:tc>
          <w:tcPr>
            <w:tcW w:w="851" w:type="dxa"/>
            <w:tcBorders>
              <w:top w:val="nil"/>
              <w:left w:val="nil"/>
              <w:bottom w:val="nil"/>
              <w:right w:val="nil"/>
            </w:tcBorders>
            <w:shd w:val="clear" w:color="000000" w:fill="D9D9D9"/>
            <w:noWrap/>
            <w:vAlign w:val="bottom"/>
            <w:hideMark/>
          </w:tcPr>
          <w:p w14:paraId="2657864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-13%</w:t>
            </w:r>
          </w:p>
        </w:tc>
        <w:tc>
          <w:tcPr>
            <w:tcW w:w="711" w:type="dxa"/>
            <w:tcBorders>
              <w:top w:val="nil"/>
              <w:left w:val="single" w:sz="4" w:space="0" w:color="auto"/>
              <w:bottom w:val="nil"/>
              <w:right w:val="nil"/>
            </w:tcBorders>
            <w:shd w:val="clear" w:color="000000" w:fill="D9D9D9"/>
            <w:noWrap/>
            <w:vAlign w:val="bottom"/>
            <w:hideMark/>
          </w:tcPr>
          <w:p w14:paraId="06C6A7F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2,416</w:t>
            </w:r>
          </w:p>
        </w:tc>
        <w:tc>
          <w:tcPr>
            <w:tcW w:w="756" w:type="dxa"/>
            <w:tcBorders>
              <w:top w:val="nil"/>
              <w:left w:val="nil"/>
              <w:bottom w:val="nil"/>
              <w:right w:val="nil"/>
            </w:tcBorders>
            <w:shd w:val="clear" w:color="000000" w:fill="D9D9D9"/>
            <w:noWrap/>
            <w:vAlign w:val="bottom"/>
            <w:hideMark/>
          </w:tcPr>
          <w:p w14:paraId="0E273AC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200%</w:t>
            </w:r>
          </w:p>
        </w:tc>
        <w:tc>
          <w:tcPr>
            <w:tcW w:w="666" w:type="dxa"/>
            <w:tcBorders>
              <w:top w:val="nil"/>
              <w:left w:val="nil"/>
              <w:bottom w:val="nil"/>
              <w:right w:val="nil"/>
            </w:tcBorders>
            <w:shd w:val="clear" w:color="000000" w:fill="D9D9D9"/>
            <w:noWrap/>
            <w:vAlign w:val="bottom"/>
            <w:hideMark/>
          </w:tcPr>
          <w:p w14:paraId="1205A72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-10%</w:t>
            </w:r>
          </w:p>
        </w:tc>
        <w:tc>
          <w:tcPr>
            <w:tcW w:w="702" w:type="dxa"/>
            <w:tcBorders>
              <w:top w:val="nil"/>
              <w:left w:val="single" w:sz="4" w:space="0" w:color="auto"/>
              <w:bottom w:val="nil"/>
              <w:right w:val="nil"/>
            </w:tcBorders>
            <w:shd w:val="clear" w:color="000000" w:fill="D9D9D9"/>
            <w:noWrap/>
            <w:vAlign w:val="bottom"/>
            <w:hideMark/>
          </w:tcPr>
          <w:p w14:paraId="7DEB318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246</w:t>
            </w:r>
          </w:p>
        </w:tc>
        <w:tc>
          <w:tcPr>
            <w:tcW w:w="666" w:type="dxa"/>
            <w:tcBorders>
              <w:top w:val="nil"/>
              <w:left w:val="nil"/>
              <w:bottom w:val="nil"/>
              <w:right w:val="nil"/>
            </w:tcBorders>
            <w:shd w:val="clear" w:color="000000" w:fill="D9D9D9"/>
            <w:noWrap/>
            <w:vAlign w:val="bottom"/>
            <w:hideMark/>
          </w:tcPr>
          <w:p w14:paraId="42D6F8A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9%</w:t>
            </w:r>
          </w:p>
        </w:tc>
        <w:tc>
          <w:tcPr>
            <w:tcW w:w="666" w:type="dxa"/>
            <w:tcBorders>
              <w:top w:val="nil"/>
              <w:left w:val="nil"/>
              <w:bottom w:val="nil"/>
              <w:right w:val="nil"/>
            </w:tcBorders>
            <w:shd w:val="clear" w:color="000000" w:fill="D9D9D9"/>
            <w:noWrap/>
            <w:vAlign w:val="bottom"/>
            <w:hideMark/>
          </w:tcPr>
          <w:p w14:paraId="4C0D1F8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-20%</w:t>
            </w:r>
          </w:p>
        </w:tc>
        <w:tc>
          <w:tcPr>
            <w:tcW w:w="794" w:type="dxa"/>
            <w:tcBorders>
              <w:top w:val="nil"/>
              <w:left w:val="single" w:sz="4" w:space="0" w:color="auto"/>
              <w:bottom w:val="nil"/>
              <w:right w:val="nil"/>
            </w:tcBorders>
            <w:shd w:val="clear" w:color="000000" w:fill="D9D9D9"/>
            <w:noWrap/>
            <w:vAlign w:val="bottom"/>
            <w:hideMark/>
          </w:tcPr>
          <w:p w14:paraId="2E7EDB6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6,214</w:t>
            </w:r>
          </w:p>
        </w:tc>
        <w:tc>
          <w:tcPr>
            <w:tcW w:w="709" w:type="dxa"/>
            <w:tcBorders>
              <w:top w:val="nil"/>
              <w:left w:val="nil"/>
              <w:bottom w:val="nil"/>
              <w:right w:val="nil"/>
            </w:tcBorders>
            <w:shd w:val="clear" w:color="000000" w:fill="D9D9D9"/>
            <w:noWrap/>
            <w:vAlign w:val="bottom"/>
            <w:hideMark/>
          </w:tcPr>
          <w:p w14:paraId="53B4C195"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-27%</w:t>
            </w:r>
          </w:p>
        </w:tc>
      </w:tr>
      <w:tr w:rsidR="0064654E" w:rsidRPr="0064654E" w14:paraId="083823D0" w14:textId="77777777" w:rsidTr="0064654E">
        <w:trPr>
          <w:trHeight w:val="20"/>
        </w:trPr>
        <w:tc>
          <w:tcPr>
            <w:tcW w:w="1418" w:type="dxa"/>
            <w:tcBorders>
              <w:top w:val="nil"/>
              <w:left w:val="nil"/>
              <w:bottom w:val="nil"/>
              <w:right w:val="nil"/>
            </w:tcBorders>
            <w:shd w:val="clear" w:color="000000" w:fill="E6BBB9"/>
            <w:noWrap/>
            <w:vAlign w:val="bottom"/>
            <w:hideMark/>
          </w:tcPr>
          <w:p w14:paraId="5C742238"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总计</w:t>
            </w:r>
          </w:p>
        </w:tc>
        <w:tc>
          <w:tcPr>
            <w:tcW w:w="993" w:type="dxa"/>
            <w:tcBorders>
              <w:top w:val="nil"/>
              <w:left w:val="single" w:sz="4" w:space="0" w:color="auto"/>
              <w:bottom w:val="nil"/>
              <w:right w:val="nil"/>
            </w:tcBorders>
            <w:shd w:val="clear" w:color="000000" w:fill="E6BBB9"/>
            <w:noWrap/>
            <w:vAlign w:val="bottom"/>
            <w:hideMark/>
          </w:tcPr>
          <w:p w14:paraId="6E519C4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4,471,621</w:t>
            </w:r>
          </w:p>
        </w:tc>
        <w:tc>
          <w:tcPr>
            <w:tcW w:w="708" w:type="dxa"/>
            <w:tcBorders>
              <w:top w:val="nil"/>
              <w:left w:val="nil"/>
              <w:bottom w:val="nil"/>
              <w:right w:val="nil"/>
            </w:tcBorders>
            <w:shd w:val="clear" w:color="000000" w:fill="E6BBB9"/>
            <w:noWrap/>
            <w:vAlign w:val="bottom"/>
            <w:hideMark/>
          </w:tcPr>
          <w:p w14:paraId="4BE62DA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8%</w:t>
            </w:r>
          </w:p>
        </w:tc>
        <w:tc>
          <w:tcPr>
            <w:tcW w:w="851" w:type="dxa"/>
            <w:tcBorders>
              <w:top w:val="nil"/>
              <w:left w:val="nil"/>
              <w:bottom w:val="nil"/>
              <w:right w:val="nil"/>
            </w:tcBorders>
            <w:shd w:val="clear" w:color="000000" w:fill="E6BBB9"/>
            <w:noWrap/>
            <w:vAlign w:val="bottom"/>
            <w:hideMark/>
          </w:tcPr>
          <w:p w14:paraId="58717CD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-18%</w:t>
            </w:r>
          </w:p>
        </w:tc>
        <w:tc>
          <w:tcPr>
            <w:tcW w:w="711" w:type="dxa"/>
            <w:tcBorders>
              <w:top w:val="nil"/>
              <w:left w:val="single" w:sz="4" w:space="0" w:color="auto"/>
              <w:bottom w:val="nil"/>
              <w:right w:val="nil"/>
            </w:tcBorders>
            <w:shd w:val="clear" w:color="000000" w:fill="E6BBB9"/>
            <w:noWrap/>
            <w:vAlign w:val="bottom"/>
            <w:hideMark/>
          </w:tcPr>
          <w:p w14:paraId="14CF078B"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16,390</w:t>
            </w:r>
          </w:p>
        </w:tc>
        <w:tc>
          <w:tcPr>
            <w:tcW w:w="756" w:type="dxa"/>
            <w:tcBorders>
              <w:top w:val="nil"/>
              <w:left w:val="nil"/>
              <w:bottom w:val="nil"/>
              <w:right w:val="nil"/>
            </w:tcBorders>
            <w:shd w:val="clear" w:color="000000" w:fill="E6BBB9"/>
            <w:noWrap/>
            <w:vAlign w:val="bottom"/>
            <w:hideMark/>
          </w:tcPr>
          <w:p w14:paraId="6561254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208%</w:t>
            </w:r>
          </w:p>
        </w:tc>
        <w:tc>
          <w:tcPr>
            <w:tcW w:w="666" w:type="dxa"/>
            <w:tcBorders>
              <w:top w:val="nil"/>
              <w:left w:val="nil"/>
              <w:bottom w:val="nil"/>
              <w:right w:val="nil"/>
            </w:tcBorders>
            <w:shd w:val="clear" w:color="000000" w:fill="E6BBB9"/>
            <w:noWrap/>
            <w:vAlign w:val="bottom"/>
            <w:hideMark/>
          </w:tcPr>
          <w:p w14:paraId="5ADF0C9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-28%</w:t>
            </w:r>
          </w:p>
        </w:tc>
        <w:tc>
          <w:tcPr>
            <w:tcW w:w="702" w:type="dxa"/>
            <w:tcBorders>
              <w:top w:val="nil"/>
              <w:left w:val="single" w:sz="4" w:space="0" w:color="auto"/>
              <w:bottom w:val="nil"/>
              <w:right w:val="nil"/>
            </w:tcBorders>
            <w:shd w:val="clear" w:color="000000" w:fill="E6BBB9"/>
            <w:noWrap/>
            <w:vAlign w:val="bottom"/>
            <w:hideMark/>
          </w:tcPr>
          <w:p w14:paraId="39F234B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1,912</w:t>
            </w:r>
          </w:p>
        </w:tc>
        <w:tc>
          <w:tcPr>
            <w:tcW w:w="666" w:type="dxa"/>
            <w:tcBorders>
              <w:top w:val="nil"/>
              <w:left w:val="nil"/>
              <w:bottom w:val="nil"/>
              <w:right w:val="nil"/>
            </w:tcBorders>
            <w:shd w:val="clear" w:color="000000" w:fill="E6BBB9"/>
            <w:noWrap/>
            <w:vAlign w:val="bottom"/>
            <w:hideMark/>
          </w:tcPr>
          <w:p w14:paraId="1BDC93F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36%</w:t>
            </w:r>
          </w:p>
        </w:tc>
        <w:tc>
          <w:tcPr>
            <w:tcW w:w="666" w:type="dxa"/>
            <w:tcBorders>
              <w:top w:val="nil"/>
              <w:left w:val="nil"/>
              <w:bottom w:val="nil"/>
              <w:right w:val="nil"/>
            </w:tcBorders>
            <w:shd w:val="clear" w:color="000000" w:fill="E6BBB9"/>
            <w:noWrap/>
            <w:vAlign w:val="bottom"/>
            <w:hideMark/>
          </w:tcPr>
          <w:p w14:paraId="7824410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-18%</w:t>
            </w:r>
          </w:p>
        </w:tc>
        <w:tc>
          <w:tcPr>
            <w:tcW w:w="794" w:type="dxa"/>
            <w:tcBorders>
              <w:top w:val="nil"/>
              <w:left w:val="single" w:sz="4" w:space="0" w:color="auto"/>
              <w:bottom w:val="nil"/>
              <w:right w:val="nil"/>
            </w:tcBorders>
            <w:shd w:val="clear" w:color="000000" w:fill="E6BBB9"/>
            <w:noWrap/>
            <w:vAlign w:val="bottom"/>
            <w:hideMark/>
          </w:tcPr>
          <w:p w14:paraId="21DF26B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38,214</w:t>
            </w:r>
          </w:p>
        </w:tc>
        <w:tc>
          <w:tcPr>
            <w:tcW w:w="709" w:type="dxa"/>
            <w:tcBorders>
              <w:top w:val="nil"/>
              <w:left w:val="nil"/>
              <w:bottom w:val="nil"/>
              <w:right w:val="nil"/>
            </w:tcBorders>
            <w:shd w:val="clear" w:color="000000" w:fill="E6BBB9"/>
            <w:noWrap/>
            <w:vAlign w:val="bottom"/>
            <w:hideMark/>
          </w:tcPr>
          <w:p w14:paraId="08DC586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-32%</w:t>
            </w:r>
          </w:p>
        </w:tc>
      </w:tr>
      <w:tr w:rsidR="0064654E" w:rsidRPr="0064654E" w14:paraId="78A408F8" w14:textId="77777777" w:rsidTr="0064654E">
        <w:trPr>
          <w:trHeight w:val="20"/>
        </w:trPr>
        <w:tc>
          <w:tcPr>
            <w:tcW w:w="1418" w:type="dxa"/>
            <w:tcBorders>
              <w:top w:val="nil"/>
              <w:left w:val="nil"/>
              <w:bottom w:val="nil"/>
              <w:right w:val="nil"/>
            </w:tcBorders>
            <w:shd w:val="clear" w:color="000000" w:fill="D9D9D9"/>
            <w:noWrap/>
            <w:vAlign w:val="bottom"/>
            <w:hideMark/>
          </w:tcPr>
          <w:p w14:paraId="6CC2A579"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上升城市数目</w:t>
            </w:r>
          </w:p>
        </w:tc>
        <w:tc>
          <w:tcPr>
            <w:tcW w:w="993" w:type="dxa"/>
            <w:tcBorders>
              <w:top w:val="nil"/>
              <w:left w:val="single" w:sz="4" w:space="0" w:color="auto"/>
              <w:bottom w:val="nil"/>
              <w:right w:val="nil"/>
            </w:tcBorders>
            <w:shd w:val="clear" w:color="000000" w:fill="D9D9D9"/>
            <w:noWrap/>
            <w:vAlign w:val="bottom"/>
            <w:hideMark/>
          </w:tcPr>
          <w:p w14:paraId="0252F4AB"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08" w:type="dxa"/>
            <w:tcBorders>
              <w:top w:val="nil"/>
              <w:left w:val="nil"/>
              <w:bottom w:val="nil"/>
              <w:right w:val="nil"/>
            </w:tcBorders>
            <w:shd w:val="clear" w:color="000000" w:fill="D9D9D9"/>
            <w:noWrap/>
            <w:vAlign w:val="bottom"/>
            <w:hideMark/>
          </w:tcPr>
          <w:p w14:paraId="4380F23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26</w:t>
            </w:r>
          </w:p>
        </w:tc>
        <w:tc>
          <w:tcPr>
            <w:tcW w:w="851" w:type="dxa"/>
            <w:tcBorders>
              <w:top w:val="nil"/>
              <w:left w:val="nil"/>
              <w:bottom w:val="nil"/>
              <w:right w:val="nil"/>
            </w:tcBorders>
            <w:shd w:val="clear" w:color="000000" w:fill="D9D9D9"/>
            <w:noWrap/>
            <w:vAlign w:val="bottom"/>
            <w:hideMark/>
          </w:tcPr>
          <w:p w14:paraId="44D8839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19</w:t>
            </w:r>
          </w:p>
        </w:tc>
        <w:tc>
          <w:tcPr>
            <w:tcW w:w="711" w:type="dxa"/>
            <w:tcBorders>
              <w:top w:val="nil"/>
              <w:left w:val="single" w:sz="4" w:space="0" w:color="auto"/>
              <w:bottom w:val="nil"/>
              <w:right w:val="nil"/>
            </w:tcBorders>
            <w:shd w:val="clear" w:color="000000" w:fill="D9D9D9"/>
            <w:noWrap/>
            <w:vAlign w:val="bottom"/>
            <w:hideMark/>
          </w:tcPr>
          <w:p w14:paraId="413C37E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56" w:type="dxa"/>
            <w:tcBorders>
              <w:top w:val="nil"/>
              <w:left w:val="nil"/>
              <w:bottom w:val="nil"/>
              <w:right w:val="nil"/>
            </w:tcBorders>
            <w:shd w:val="clear" w:color="000000" w:fill="D9D9D9"/>
            <w:noWrap/>
            <w:vAlign w:val="bottom"/>
            <w:hideMark/>
          </w:tcPr>
          <w:p w14:paraId="3E38834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41</w:t>
            </w:r>
          </w:p>
        </w:tc>
        <w:tc>
          <w:tcPr>
            <w:tcW w:w="666" w:type="dxa"/>
            <w:tcBorders>
              <w:top w:val="nil"/>
              <w:left w:val="nil"/>
              <w:bottom w:val="nil"/>
              <w:right w:val="nil"/>
            </w:tcBorders>
            <w:shd w:val="clear" w:color="000000" w:fill="D9D9D9"/>
            <w:noWrap/>
            <w:vAlign w:val="bottom"/>
            <w:hideMark/>
          </w:tcPr>
          <w:p w14:paraId="19116B7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14</w:t>
            </w:r>
          </w:p>
        </w:tc>
        <w:tc>
          <w:tcPr>
            <w:tcW w:w="702" w:type="dxa"/>
            <w:tcBorders>
              <w:top w:val="nil"/>
              <w:left w:val="single" w:sz="4" w:space="0" w:color="auto"/>
              <w:bottom w:val="nil"/>
              <w:right w:val="nil"/>
            </w:tcBorders>
            <w:shd w:val="clear" w:color="000000" w:fill="D9D9D9"/>
            <w:noWrap/>
            <w:vAlign w:val="bottom"/>
            <w:hideMark/>
          </w:tcPr>
          <w:p w14:paraId="4C54E6A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666" w:type="dxa"/>
            <w:tcBorders>
              <w:top w:val="nil"/>
              <w:left w:val="nil"/>
              <w:bottom w:val="nil"/>
              <w:right w:val="nil"/>
            </w:tcBorders>
            <w:shd w:val="clear" w:color="000000" w:fill="D9D9D9"/>
            <w:noWrap/>
            <w:vAlign w:val="bottom"/>
            <w:hideMark/>
          </w:tcPr>
          <w:p w14:paraId="7020C15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30</w:t>
            </w:r>
          </w:p>
        </w:tc>
        <w:tc>
          <w:tcPr>
            <w:tcW w:w="666" w:type="dxa"/>
            <w:tcBorders>
              <w:top w:val="nil"/>
              <w:left w:val="nil"/>
              <w:bottom w:val="nil"/>
              <w:right w:val="nil"/>
            </w:tcBorders>
            <w:shd w:val="clear" w:color="000000" w:fill="D9D9D9"/>
            <w:noWrap/>
            <w:vAlign w:val="bottom"/>
            <w:hideMark/>
          </w:tcPr>
          <w:p w14:paraId="33A64DC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17</w:t>
            </w:r>
          </w:p>
        </w:tc>
        <w:tc>
          <w:tcPr>
            <w:tcW w:w="794" w:type="dxa"/>
            <w:tcBorders>
              <w:top w:val="nil"/>
              <w:left w:val="single" w:sz="4" w:space="0" w:color="auto"/>
              <w:bottom w:val="nil"/>
              <w:right w:val="nil"/>
            </w:tcBorders>
            <w:shd w:val="clear" w:color="000000" w:fill="D9D9D9"/>
            <w:noWrap/>
            <w:vAlign w:val="bottom"/>
            <w:hideMark/>
          </w:tcPr>
          <w:p w14:paraId="0E0261B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09" w:type="dxa"/>
            <w:tcBorders>
              <w:top w:val="nil"/>
              <w:left w:val="nil"/>
              <w:bottom w:val="nil"/>
              <w:right w:val="nil"/>
            </w:tcBorders>
            <w:shd w:val="clear" w:color="000000" w:fill="D9D9D9"/>
            <w:noWrap/>
            <w:vAlign w:val="bottom"/>
            <w:hideMark/>
          </w:tcPr>
          <w:p w14:paraId="0C6ACF6C"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5</w:t>
            </w:r>
          </w:p>
        </w:tc>
      </w:tr>
      <w:tr w:rsidR="0064654E" w:rsidRPr="0064654E" w14:paraId="12D40E97" w14:textId="77777777" w:rsidTr="0064654E">
        <w:trPr>
          <w:trHeight w:val="20"/>
        </w:trPr>
        <w:tc>
          <w:tcPr>
            <w:tcW w:w="1418" w:type="dxa"/>
            <w:tcBorders>
              <w:top w:val="nil"/>
              <w:left w:val="nil"/>
              <w:bottom w:val="nil"/>
              <w:right w:val="nil"/>
            </w:tcBorders>
            <w:shd w:val="clear" w:color="000000" w:fill="D9D9D9"/>
            <w:noWrap/>
            <w:vAlign w:val="bottom"/>
            <w:hideMark/>
          </w:tcPr>
          <w:p w14:paraId="47F90EC6" w14:textId="77777777" w:rsidR="0064654E" w:rsidRPr="0064654E" w:rsidRDefault="0064654E" w:rsidP="0064654E">
            <w:pPr>
              <w:spacing w:after="0" w:line="240" w:lineRule="auto"/>
              <w:ind w:right="0"/>
              <w:jc w:val="left"/>
              <w:rPr>
                <w:rFonts w:eastAsia="宋体" w:cs="Times New Roman"/>
                <w:b/>
                <w:bCs/>
                <w:color w:val="000000"/>
                <w:sz w:val="18"/>
                <w:szCs w:val="18"/>
              </w:rPr>
            </w:pPr>
            <w:r w:rsidRPr="0064654E">
              <w:rPr>
                <w:rFonts w:ascii="楷体" w:hAnsi="楷体" w:cs="Times New Roman" w:hint="eastAsia"/>
                <w:b/>
                <w:bCs/>
                <w:color w:val="000000"/>
                <w:sz w:val="18"/>
                <w:szCs w:val="18"/>
              </w:rPr>
              <w:t>下降城市数目</w:t>
            </w:r>
          </w:p>
        </w:tc>
        <w:tc>
          <w:tcPr>
            <w:tcW w:w="993" w:type="dxa"/>
            <w:tcBorders>
              <w:top w:val="nil"/>
              <w:left w:val="single" w:sz="4" w:space="0" w:color="auto"/>
              <w:bottom w:val="nil"/>
              <w:right w:val="nil"/>
            </w:tcBorders>
            <w:shd w:val="clear" w:color="000000" w:fill="D9D9D9"/>
            <w:noWrap/>
            <w:vAlign w:val="bottom"/>
            <w:hideMark/>
          </w:tcPr>
          <w:p w14:paraId="38B8A55C"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08" w:type="dxa"/>
            <w:tcBorders>
              <w:top w:val="nil"/>
              <w:left w:val="nil"/>
              <w:bottom w:val="nil"/>
              <w:right w:val="nil"/>
            </w:tcBorders>
            <w:shd w:val="clear" w:color="000000" w:fill="D9D9D9"/>
            <w:noWrap/>
            <w:vAlign w:val="bottom"/>
            <w:hideMark/>
          </w:tcPr>
          <w:p w14:paraId="1EAC95B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15</w:t>
            </w:r>
          </w:p>
        </w:tc>
        <w:tc>
          <w:tcPr>
            <w:tcW w:w="851" w:type="dxa"/>
            <w:tcBorders>
              <w:top w:val="nil"/>
              <w:left w:val="nil"/>
              <w:bottom w:val="nil"/>
              <w:right w:val="nil"/>
            </w:tcBorders>
            <w:shd w:val="clear" w:color="000000" w:fill="D9D9D9"/>
            <w:noWrap/>
            <w:vAlign w:val="bottom"/>
            <w:hideMark/>
          </w:tcPr>
          <w:p w14:paraId="5DF73D8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23</w:t>
            </w:r>
          </w:p>
        </w:tc>
        <w:tc>
          <w:tcPr>
            <w:tcW w:w="711" w:type="dxa"/>
            <w:tcBorders>
              <w:top w:val="nil"/>
              <w:left w:val="single" w:sz="4" w:space="0" w:color="auto"/>
              <w:bottom w:val="nil"/>
              <w:right w:val="nil"/>
            </w:tcBorders>
            <w:shd w:val="clear" w:color="000000" w:fill="D9D9D9"/>
            <w:noWrap/>
            <w:vAlign w:val="bottom"/>
            <w:hideMark/>
          </w:tcPr>
          <w:p w14:paraId="7101486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56" w:type="dxa"/>
            <w:tcBorders>
              <w:top w:val="nil"/>
              <w:left w:val="nil"/>
              <w:bottom w:val="nil"/>
              <w:right w:val="nil"/>
            </w:tcBorders>
            <w:shd w:val="clear" w:color="000000" w:fill="D9D9D9"/>
            <w:noWrap/>
            <w:vAlign w:val="bottom"/>
            <w:hideMark/>
          </w:tcPr>
          <w:p w14:paraId="59436CC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0</w:t>
            </w:r>
          </w:p>
        </w:tc>
        <w:tc>
          <w:tcPr>
            <w:tcW w:w="666" w:type="dxa"/>
            <w:tcBorders>
              <w:top w:val="nil"/>
              <w:left w:val="nil"/>
              <w:bottom w:val="nil"/>
              <w:right w:val="nil"/>
            </w:tcBorders>
            <w:shd w:val="clear" w:color="000000" w:fill="D9D9D9"/>
            <w:noWrap/>
            <w:vAlign w:val="bottom"/>
            <w:hideMark/>
          </w:tcPr>
          <w:p w14:paraId="0AB04A7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28</w:t>
            </w:r>
          </w:p>
        </w:tc>
        <w:tc>
          <w:tcPr>
            <w:tcW w:w="702" w:type="dxa"/>
            <w:tcBorders>
              <w:top w:val="nil"/>
              <w:left w:val="single" w:sz="4" w:space="0" w:color="auto"/>
              <w:bottom w:val="nil"/>
              <w:right w:val="nil"/>
            </w:tcBorders>
            <w:shd w:val="clear" w:color="000000" w:fill="D9D9D9"/>
            <w:noWrap/>
            <w:vAlign w:val="bottom"/>
            <w:hideMark/>
          </w:tcPr>
          <w:p w14:paraId="2826422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666" w:type="dxa"/>
            <w:tcBorders>
              <w:top w:val="nil"/>
              <w:left w:val="nil"/>
              <w:bottom w:val="nil"/>
              <w:right w:val="nil"/>
            </w:tcBorders>
            <w:shd w:val="clear" w:color="000000" w:fill="D9D9D9"/>
            <w:noWrap/>
            <w:vAlign w:val="bottom"/>
            <w:hideMark/>
          </w:tcPr>
          <w:p w14:paraId="5EC39F9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10</w:t>
            </w:r>
          </w:p>
        </w:tc>
        <w:tc>
          <w:tcPr>
            <w:tcW w:w="666" w:type="dxa"/>
            <w:tcBorders>
              <w:top w:val="nil"/>
              <w:left w:val="nil"/>
              <w:bottom w:val="nil"/>
              <w:right w:val="nil"/>
            </w:tcBorders>
            <w:shd w:val="clear" w:color="000000" w:fill="D9D9D9"/>
            <w:noWrap/>
            <w:vAlign w:val="bottom"/>
            <w:hideMark/>
          </w:tcPr>
          <w:p w14:paraId="11CF29A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24</w:t>
            </w:r>
          </w:p>
        </w:tc>
        <w:tc>
          <w:tcPr>
            <w:tcW w:w="794" w:type="dxa"/>
            <w:tcBorders>
              <w:top w:val="nil"/>
              <w:left w:val="single" w:sz="4" w:space="0" w:color="auto"/>
              <w:bottom w:val="nil"/>
              <w:right w:val="nil"/>
            </w:tcBorders>
            <w:shd w:val="clear" w:color="000000" w:fill="D9D9D9"/>
            <w:noWrap/>
            <w:vAlign w:val="bottom"/>
            <w:hideMark/>
          </w:tcPr>
          <w:p w14:paraId="537D701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09" w:type="dxa"/>
            <w:tcBorders>
              <w:top w:val="nil"/>
              <w:left w:val="nil"/>
              <w:bottom w:val="nil"/>
              <w:right w:val="nil"/>
            </w:tcBorders>
            <w:shd w:val="clear" w:color="000000" w:fill="D9D9D9"/>
            <w:noWrap/>
            <w:vAlign w:val="bottom"/>
            <w:hideMark/>
          </w:tcPr>
          <w:p w14:paraId="0E41F155"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38</w:t>
            </w:r>
          </w:p>
        </w:tc>
      </w:tr>
    </w:tbl>
    <w:p w14:paraId="0CACD32B" w14:textId="49B872D3" w:rsidR="00463980" w:rsidRPr="005531C5" w:rsidRDefault="00A507E1" w:rsidP="005531C5">
      <w:pPr>
        <w:rPr>
          <w:rFonts w:cs="Times New Roman"/>
          <w:sz w:val="18"/>
          <w:szCs w:val="18"/>
        </w:rPr>
      </w:pPr>
      <w:r>
        <w:rPr>
          <w:rFonts w:cs="Times New Roman"/>
          <w:sz w:val="18"/>
          <w:szCs w:val="18"/>
        </w:rPr>
        <w:t>数据来源</w:t>
      </w:r>
      <w:r w:rsidR="00EF5C8A" w:rsidRPr="00EF5C8A">
        <w:rPr>
          <w:rFonts w:cs="Times New Roman"/>
          <w:sz w:val="18"/>
          <w:szCs w:val="18"/>
        </w:rPr>
        <w:t>：各地房管局，中</w:t>
      </w:r>
      <w:proofErr w:type="gramStart"/>
      <w:r w:rsidR="00EF5C8A" w:rsidRPr="00EF5C8A">
        <w:rPr>
          <w:rFonts w:cs="Times New Roman"/>
          <w:sz w:val="18"/>
          <w:szCs w:val="18"/>
        </w:rPr>
        <w:t>达证券</w:t>
      </w:r>
      <w:proofErr w:type="gramEnd"/>
      <w:r w:rsidR="00EF5C8A" w:rsidRPr="00EF5C8A">
        <w:rPr>
          <w:rFonts w:cs="Times New Roman"/>
          <w:sz w:val="18"/>
          <w:szCs w:val="18"/>
        </w:rPr>
        <w:t>研究</w:t>
      </w:r>
      <w:r w:rsidR="00EF5C8A" w:rsidRPr="00EF5C8A">
        <w:rPr>
          <w:rFonts w:cs="Times New Roman" w:hint="eastAsia"/>
          <w:sz w:val="18"/>
          <w:szCs w:val="18"/>
        </w:rPr>
        <w:t>；注：数据截至</w:t>
      </w:r>
      <w:r w:rsidR="00EF5C8A" w:rsidRPr="00EF5C8A">
        <w:rPr>
          <w:rFonts w:cs="Times New Roman" w:hint="eastAsia"/>
          <w:sz w:val="18"/>
          <w:szCs w:val="18"/>
        </w:rPr>
        <w:t>20</w:t>
      </w:r>
      <w:r w:rsidR="00EF5C8A" w:rsidRPr="00EF5C8A">
        <w:rPr>
          <w:rFonts w:cs="Times New Roman"/>
          <w:sz w:val="18"/>
          <w:szCs w:val="18"/>
        </w:rPr>
        <w:t>20</w:t>
      </w:r>
      <w:r w:rsidR="00EF5C8A" w:rsidRPr="00EF5C8A">
        <w:rPr>
          <w:rFonts w:cs="Times New Roman" w:hint="eastAsia"/>
          <w:sz w:val="18"/>
          <w:szCs w:val="18"/>
        </w:rPr>
        <w:t>/</w:t>
      </w:r>
      <w:r w:rsidR="0064654E">
        <w:rPr>
          <w:rFonts w:cs="Times New Roman"/>
          <w:sz w:val="18"/>
          <w:szCs w:val="18"/>
        </w:rPr>
        <w:t>4</w:t>
      </w:r>
      <w:r w:rsidR="00EF5C8A" w:rsidRPr="005531C5">
        <w:rPr>
          <w:rFonts w:cs="Times New Roman"/>
          <w:sz w:val="18"/>
          <w:szCs w:val="18"/>
        </w:rPr>
        <w:t>/</w:t>
      </w:r>
      <w:r w:rsidR="0064654E">
        <w:rPr>
          <w:rFonts w:cs="Times New Roman"/>
          <w:sz w:val="18"/>
          <w:szCs w:val="18"/>
        </w:rPr>
        <w:t>3</w:t>
      </w:r>
    </w:p>
    <w:p w14:paraId="1876D5A9" w14:textId="77777777" w:rsidR="008F1CD2" w:rsidRDefault="008F1CD2">
      <w:pPr>
        <w:ind w:right="0"/>
        <w:jc w:val="left"/>
        <w:rPr>
          <w:rFonts w:cs="Times New Roman"/>
          <w:b/>
          <w:bCs/>
          <w:szCs w:val="20"/>
        </w:rPr>
      </w:pPr>
      <w:r>
        <w:rPr>
          <w:rFonts w:cs="Times New Roman"/>
          <w:b/>
          <w:bCs/>
          <w:szCs w:val="20"/>
        </w:rPr>
        <w:br w:type="page"/>
      </w:r>
    </w:p>
    <w:p w14:paraId="3CEE88BC" w14:textId="652D11BD" w:rsidR="00EF5C8A" w:rsidRDefault="00EF5C8A" w:rsidP="007D5F8C">
      <w:pPr>
        <w:spacing w:after="100" w:line="240" w:lineRule="auto"/>
        <w:contextualSpacing/>
        <w:rPr>
          <w:rFonts w:cs="Times New Roman"/>
          <w:b/>
          <w:bCs/>
          <w:szCs w:val="20"/>
        </w:rPr>
      </w:pPr>
      <w:r w:rsidRPr="00126E38">
        <w:rPr>
          <w:rFonts w:cs="Times New Roman" w:hint="eastAsia"/>
          <w:b/>
          <w:bCs/>
          <w:szCs w:val="20"/>
        </w:rPr>
        <w:lastRenderedPageBreak/>
        <w:t>表</w:t>
      </w:r>
      <w:r w:rsidRPr="00126E38">
        <w:rPr>
          <w:rFonts w:cs="Times New Roman" w:hint="eastAsia"/>
          <w:b/>
          <w:bCs/>
          <w:szCs w:val="20"/>
        </w:rPr>
        <w:t xml:space="preserve"> </w:t>
      </w:r>
      <w:r w:rsidRPr="00126E38">
        <w:rPr>
          <w:rFonts w:cs="Times New Roman"/>
          <w:b/>
          <w:bCs/>
          <w:szCs w:val="20"/>
        </w:rPr>
        <w:fldChar w:fldCharType="begin"/>
      </w:r>
      <w:r w:rsidRPr="00126E38">
        <w:rPr>
          <w:rFonts w:cs="Times New Roman"/>
          <w:b/>
          <w:bCs/>
          <w:szCs w:val="20"/>
        </w:rPr>
        <w:instrText xml:space="preserve"> </w:instrText>
      </w:r>
      <w:r w:rsidRPr="00126E38">
        <w:rPr>
          <w:rFonts w:cs="Times New Roman" w:hint="eastAsia"/>
          <w:b/>
          <w:bCs/>
          <w:szCs w:val="20"/>
        </w:rPr>
        <w:instrText xml:space="preserve">SEQ </w:instrText>
      </w:r>
      <w:r w:rsidRPr="00126E38">
        <w:rPr>
          <w:rFonts w:cs="Times New Roman" w:hint="eastAsia"/>
          <w:b/>
          <w:bCs/>
          <w:szCs w:val="20"/>
        </w:rPr>
        <w:instrText>表</w:instrText>
      </w:r>
      <w:r w:rsidRPr="00126E38">
        <w:rPr>
          <w:rFonts w:cs="Times New Roman" w:hint="eastAsia"/>
          <w:b/>
          <w:bCs/>
          <w:szCs w:val="20"/>
        </w:rPr>
        <w:instrText xml:space="preserve"> \* ARABIC</w:instrText>
      </w:r>
      <w:r w:rsidRPr="00126E38">
        <w:rPr>
          <w:rFonts w:cs="Times New Roman"/>
          <w:b/>
          <w:bCs/>
          <w:szCs w:val="20"/>
        </w:rPr>
        <w:instrText xml:space="preserve"> </w:instrText>
      </w:r>
      <w:r w:rsidRPr="00126E38">
        <w:rPr>
          <w:rFonts w:cs="Times New Roman"/>
          <w:b/>
          <w:bCs/>
          <w:szCs w:val="20"/>
        </w:rPr>
        <w:fldChar w:fldCharType="separate"/>
      </w:r>
      <w:r w:rsidR="00DB5785">
        <w:rPr>
          <w:rFonts w:cs="Times New Roman"/>
          <w:b/>
          <w:bCs/>
          <w:noProof/>
          <w:szCs w:val="20"/>
        </w:rPr>
        <w:t>6</w:t>
      </w:r>
      <w:r w:rsidRPr="00126E38">
        <w:rPr>
          <w:rFonts w:cs="Times New Roman"/>
          <w:b/>
          <w:bCs/>
          <w:szCs w:val="20"/>
        </w:rPr>
        <w:fldChar w:fldCharType="end"/>
      </w:r>
      <w:r w:rsidRPr="00126E38">
        <w:rPr>
          <w:rFonts w:cs="Times New Roman"/>
          <w:b/>
          <w:bCs/>
          <w:szCs w:val="20"/>
        </w:rPr>
        <w:t xml:space="preserve">: </w:t>
      </w:r>
      <w:r w:rsidRPr="00126E38">
        <w:rPr>
          <w:rFonts w:cs="Times New Roman"/>
          <w:b/>
          <w:bCs/>
          <w:szCs w:val="20"/>
        </w:rPr>
        <w:t>主要城市新房库存与去化周期情况，去化</w:t>
      </w:r>
      <w:proofErr w:type="gramStart"/>
      <w:r w:rsidRPr="00126E38">
        <w:rPr>
          <w:rFonts w:cs="Times New Roman"/>
          <w:b/>
          <w:bCs/>
          <w:szCs w:val="20"/>
        </w:rPr>
        <w:t>周期环</w:t>
      </w:r>
      <w:proofErr w:type="gramEnd"/>
      <w:r w:rsidRPr="00126E38">
        <w:rPr>
          <w:rFonts w:cs="Times New Roman"/>
          <w:b/>
          <w:bCs/>
          <w:szCs w:val="20"/>
        </w:rPr>
        <w:t>比下降</w:t>
      </w:r>
      <w:r w:rsidRPr="00126E38">
        <w:rPr>
          <w:rFonts w:cs="Times New Roman"/>
          <w:b/>
          <w:bCs/>
          <w:szCs w:val="20"/>
        </w:rPr>
        <w:t xml:space="preserve"> </w:t>
      </w:r>
    </w:p>
    <w:p w14:paraId="060449A3" w14:textId="77777777" w:rsidR="007D5F8C" w:rsidRPr="007D5F8C" w:rsidRDefault="007D5F8C" w:rsidP="007D5F8C">
      <w:pPr>
        <w:spacing w:after="100" w:line="240" w:lineRule="auto"/>
        <w:contextualSpacing/>
        <w:rPr>
          <w:rFonts w:cs="Times New Roman"/>
          <w:b/>
          <w:bCs/>
          <w:sz w:val="8"/>
          <w:szCs w:val="6"/>
        </w:rPr>
      </w:pPr>
    </w:p>
    <w:tbl>
      <w:tblPr>
        <w:tblW w:w="10206" w:type="dxa"/>
        <w:tblLook w:val="04A0" w:firstRow="1" w:lastRow="0" w:firstColumn="1" w:lastColumn="0" w:noHBand="0" w:noVBand="1"/>
      </w:tblPr>
      <w:tblGrid>
        <w:gridCol w:w="1087"/>
        <w:gridCol w:w="2325"/>
        <w:gridCol w:w="1087"/>
        <w:gridCol w:w="1087"/>
        <w:gridCol w:w="1653"/>
        <w:gridCol w:w="793"/>
        <w:gridCol w:w="1087"/>
        <w:gridCol w:w="1087"/>
      </w:tblGrid>
      <w:tr w:rsidR="0064654E" w:rsidRPr="0064654E" w14:paraId="7ADA5DEC" w14:textId="77777777" w:rsidTr="0064654E">
        <w:trPr>
          <w:trHeight w:val="20"/>
        </w:trPr>
        <w:tc>
          <w:tcPr>
            <w:tcW w:w="1036" w:type="dxa"/>
            <w:tcBorders>
              <w:top w:val="nil"/>
              <w:left w:val="nil"/>
              <w:bottom w:val="single" w:sz="4" w:space="0" w:color="C00000"/>
              <w:right w:val="nil"/>
            </w:tcBorders>
            <w:shd w:val="clear" w:color="000000" w:fill="FFFFFF"/>
            <w:noWrap/>
            <w:vAlign w:val="bottom"/>
            <w:hideMark/>
          </w:tcPr>
          <w:p w14:paraId="355A4F0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城市</w:t>
            </w:r>
          </w:p>
        </w:tc>
        <w:tc>
          <w:tcPr>
            <w:tcW w:w="2216" w:type="dxa"/>
            <w:tcBorders>
              <w:top w:val="nil"/>
              <w:left w:val="nil"/>
              <w:bottom w:val="single" w:sz="4" w:space="0" w:color="C00000"/>
              <w:right w:val="nil"/>
            </w:tcBorders>
            <w:shd w:val="clear" w:color="000000" w:fill="FFFFFF"/>
            <w:noWrap/>
            <w:vAlign w:val="bottom"/>
            <w:hideMark/>
          </w:tcPr>
          <w:p w14:paraId="6495F82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可售面积</w:t>
            </w:r>
            <w:r w:rsidRPr="0064654E">
              <w:rPr>
                <w:rFonts w:eastAsia="宋体" w:cs="Times New Roman"/>
                <w:b/>
                <w:bCs/>
                <w:color w:val="000000"/>
                <w:sz w:val="18"/>
                <w:szCs w:val="18"/>
              </w:rPr>
              <w:t>(</w:t>
            </w:r>
            <w:proofErr w:type="gramStart"/>
            <w:r w:rsidRPr="0064654E">
              <w:rPr>
                <w:rFonts w:ascii="楷体" w:hAnsi="楷体" w:cs="Times New Roman" w:hint="eastAsia"/>
                <w:b/>
                <w:bCs/>
                <w:color w:val="000000"/>
                <w:sz w:val="18"/>
                <w:szCs w:val="18"/>
              </w:rPr>
              <w:t>千平方米</w:t>
            </w:r>
            <w:proofErr w:type="gramEnd"/>
            <w:r w:rsidRPr="0064654E">
              <w:rPr>
                <w:rFonts w:eastAsia="宋体" w:cs="Times New Roman"/>
                <w:b/>
                <w:bCs/>
                <w:color w:val="000000"/>
                <w:sz w:val="18"/>
                <w:szCs w:val="18"/>
              </w:rPr>
              <w:t>)</w:t>
            </w:r>
          </w:p>
        </w:tc>
        <w:tc>
          <w:tcPr>
            <w:tcW w:w="1036" w:type="dxa"/>
            <w:tcBorders>
              <w:top w:val="nil"/>
              <w:left w:val="nil"/>
              <w:bottom w:val="single" w:sz="4" w:space="0" w:color="C00000"/>
              <w:right w:val="nil"/>
            </w:tcBorders>
            <w:shd w:val="clear" w:color="000000" w:fill="FFFFFF"/>
            <w:noWrap/>
            <w:vAlign w:val="bottom"/>
            <w:hideMark/>
          </w:tcPr>
          <w:p w14:paraId="685D2C95"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环比</w:t>
            </w:r>
          </w:p>
        </w:tc>
        <w:tc>
          <w:tcPr>
            <w:tcW w:w="1036" w:type="dxa"/>
            <w:tcBorders>
              <w:top w:val="nil"/>
              <w:left w:val="nil"/>
              <w:bottom w:val="single" w:sz="4" w:space="0" w:color="C00000"/>
              <w:right w:val="nil"/>
            </w:tcBorders>
            <w:shd w:val="clear" w:color="000000" w:fill="FFFFFF"/>
            <w:noWrap/>
            <w:vAlign w:val="bottom"/>
            <w:hideMark/>
          </w:tcPr>
          <w:p w14:paraId="5984301C"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同比</w:t>
            </w:r>
          </w:p>
        </w:tc>
        <w:tc>
          <w:tcPr>
            <w:tcW w:w="1576" w:type="dxa"/>
            <w:tcBorders>
              <w:top w:val="nil"/>
              <w:left w:val="nil"/>
              <w:bottom w:val="single" w:sz="4" w:space="0" w:color="C00000"/>
              <w:right w:val="nil"/>
            </w:tcBorders>
            <w:shd w:val="clear" w:color="000000" w:fill="FFFFFF"/>
            <w:noWrap/>
            <w:vAlign w:val="bottom"/>
            <w:hideMark/>
          </w:tcPr>
          <w:p w14:paraId="3F36962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去化周期</w:t>
            </w:r>
            <w:r w:rsidRPr="0064654E">
              <w:rPr>
                <w:rFonts w:eastAsia="宋体" w:cs="Times New Roman"/>
                <w:b/>
                <w:bCs/>
                <w:color w:val="000000"/>
                <w:sz w:val="18"/>
                <w:szCs w:val="18"/>
              </w:rPr>
              <w:t>(</w:t>
            </w:r>
            <w:r w:rsidRPr="0064654E">
              <w:rPr>
                <w:rFonts w:ascii="楷体" w:hAnsi="楷体" w:cs="Times New Roman" w:hint="eastAsia"/>
                <w:b/>
                <w:bCs/>
                <w:color w:val="000000"/>
                <w:sz w:val="18"/>
                <w:szCs w:val="18"/>
              </w:rPr>
              <w:t>月</w:t>
            </w:r>
            <w:r w:rsidRPr="0064654E">
              <w:rPr>
                <w:rFonts w:eastAsia="宋体" w:cs="Times New Roman"/>
                <w:b/>
                <w:bCs/>
                <w:color w:val="000000"/>
                <w:sz w:val="18"/>
                <w:szCs w:val="18"/>
              </w:rPr>
              <w:t>)</w:t>
            </w:r>
          </w:p>
        </w:tc>
        <w:tc>
          <w:tcPr>
            <w:tcW w:w="756" w:type="dxa"/>
            <w:tcBorders>
              <w:top w:val="nil"/>
              <w:left w:val="nil"/>
              <w:bottom w:val="single" w:sz="4" w:space="0" w:color="C00000"/>
              <w:right w:val="nil"/>
            </w:tcBorders>
            <w:shd w:val="clear" w:color="000000" w:fill="FFFFFF"/>
            <w:noWrap/>
            <w:vAlign w:val="bottom"/>
            <w:hideMark/>
          </w:tcPr>
          <w:p w14:paraId="2C2B83A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上期</w:t>
            </w:r>
          </w:p>
        </w:tc>
        <w:tc>
          <w:tcPr>
            <w:tcW w:w="1036" w:type="dxa"/>
            <w:tcBorders>
              <w:top w:val="nil"/>
              <w:left w:val="nil"/>
              <w:bottom w:val="single" w:sz="4" w:space="0" w:color="C00000"/>
              <w:right w:val="nil"/>
            </w:tcBorders>
            <w:shd w:val="clear" w:color="000000" w:fill="FFFFFF"/>
            <w:noWrap/>
            <w:vAlign w:val="bottom"/>
            <w:hideMark/>
          </w:tcPr>
          <w:p w14:paraId="1C657E1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环比</w:t>
            </w:r>
          </w:p>
        </w:tc>
        <w:tc>
          <w:tcPr>
            <w:tcW w:w="1036" w:type="dxa"/>
            <w:tcBorders>
              <w:top w:val="nil"/>
              <w:left w:val="nil"/>
              <w:bottom w:val="single" w:sz="4" w:space="0" w:color="C00000"/>
              <w:right w:val="nil"/>
            </w:tcBorders>
            <w:shd w:val="clear" w:color="000000" w:fill="FFFFFF"/>
            <w:noWrap/>
            <w:vAlign w:val="bottom"/>
            <w:hideMark/>
          </w:tcPr>
          <w:p w14:paraId="7CA2566C"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同比</w:t>
            </w:r>
          </w:p>
        </w:tc>
      </w:tr>
      <w:tr w:rsidR="0064654E" w:rsidRPr="0064654E" w14:paraId="5FE59AE0" w14:textId="77777777" w:rsidTr="0064654E">
        <w:trPr>
          <w:trHeight w:val="20"/>
        </w:trPr>
        <w:tc>
          <w:tcPr>
            <w:tcW w:w="1036" w:type="dxa"/>
            <w:tcBorders>
              <w:top w:val="nil"/>
              <w:left w:val="nil"/>
              <w:bottom w:val="nil"/>
              <w:right w:val="nil"/>
            </w:tcBorders>
            <w:shd w:val="clear" w:color="auto" w:fill="auto"/>
            <w:noWrap/>
            <w:vAlign w:val="bottom"/>
            <w:hideMark/>
          </w:tcPr>
          <w:p w14:paraId="26522E22" w14:textId="77777777" w:rsidR="0064654E" w:rsidRPr="0064654E" w:rsidRDefault="0064654E" w:rsidP="0064654E">
            <w:pPr>
              <w:spacing w:after="0" w:line="240" w:lineRule="auto"/>
              <w:ind w:right="0"/>
              <w:jc w:val="center"/>
              <w:rPr>
                <w:rFonts w:ascii="楷体" w:hAnsi="楷体" w:cs="宋体"/>
                <w:color w:val="000000"/>
                <w:sz w:val="18"/>
                <w:szCs w:val="18"/>
              </w:rPr>
            </w:pPr>
            <w:r w:rsidRPr="0064654E">
              <w:rPr>
                <w:rFonts w:ascii="楷体" w:hAnsi="楷体" w:cs="宋体" w:hint="eastAsia"/>
                <w:color w:val="000000"/>
                <w:sz w:val="18"/>
                <w:szCs w:val="18"/>
              </w:rPr>
              <w:t>北京</w:t>
            </w:r>
          </w:p>
        </w:tc>
        <w:tc>
          <w:tcPr>
            <w:tcW w:w="2216" w:type="dxa"/>
            <w:tcBorders>
              <w:top w:val="nil"/>
              <w:left w:val="nil"/>
              <w:bottom w:val="nil"/>
              <w:right w:val="nil"/>
            </w:tcBorders>
            <w:shd w:val="clear" w:color="auto" w:fill="auto"/>
            <w:noWrap/>
            <w:vAlign w:val="bottom"/>
            <w:hideMark/>
          </w:tcPr>
          <w:p w14:paraId="39C08A8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10,741</w:t>
            </w:r>
          </w:p>
        </w:tc>
        <w:tc>
          <w:tcPr>
            <w:tcW w:w="1036" w:type="dxa"/>
            <w:tcBorders>
              <w:top w:val="nil"/>
              <w:left w:val="nil"/>
              <w:bottom w:val="nil"/>
              <w:right w:val="nil"/>
            </w:tcBorders>
            <w:shd w:val="clear" w:color="auto" w:fill="auto"/>
            <w:noWrap/>
            <w:vAlign w:val="bottom"/>
            <w:hideMark/>
          </w:tcPr>
          <w:p w14:paraId="2A8EE4B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w:t>
            </w:r>
          </w:p>
        </w:tc>
        <w:tc>
          <w:tcPr>
            <w:tcW w:w="1036" w:type="dxa"/>
            <w:tcBorders>
              <w:top w:val="nil"/>
              <w:left w:val="nil"/>
              <w:bottom w:val="nil"/>
              <w:right w:val="nil"/>
            </w:tcBorders>
            <w:shd w:val="clear" w:color="auto" w:fill="auto"/>
            <w:noWrap/>
            <w:vAlign w:val="bottom"/>
            <w:hideMark/>
          </w:tcPr>
          <w:p w14:paraId="46E7FBA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12%</w:t>
            </w:r>
          </w:p>
        </w:tc>
        <w:tc>
          <w:tcPr>
            <w:tcW w:w="1576" w:type="dxa"/>
            <w:tcBorders>
              <w:top w:val="nil"/>
              <w:left w:val="nil"/>
              <w:bottom w:val="nil"/>
              <w:right w:val="nil"/>
            </w:tcBorders>
            <w:shd w:val="clear" w:color="auto" w:fill="auto"/>
            <w:noWrap/>
            <w:vAlign w:val="bottom"/>
            <w:hideMark/>
          </w:tcPr>
          <w:p w14:paraId="4CADBC43"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39.7</w:t>
            </w:r>
          </w:p>
        </w:tc>
        <w:tc>
          <w:tcPr>
            <w:tcW w:w="756" w:type="dxa"/>
            <w:tcBorders>
              <w:top w:val="nil"/>
              <w:left w:val="nil"/>
              <w:bottom w:val="nil"/>
              <w:right w:val="nil"/>
            </w:tcBorders>
            <w:shd w:val="clear" w:color="auto" w:fill="auto"/>
            <w:noWrap/>
            <w:vAlign w:val="bottom"/>
            <w:hideMark/>
          </w:tcPr>
          <w:p w14:paraId="401C2F94"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41.1</w:t>
            </w:r>
          </w:p>
        </w:tc>
        <w:tc>
          <w:tcPr>
            <w:tcW w:w="1036" w:type="dxa"/>
            <w:tcBorders>
              <w:top w:val="nil"/>
              <w:left w:val="nil"/>
              <w:bottom w:val="nil"/>
              <w:right w:val="nil"/>
            </w:tcBorders>
            <w:shd w:val="clear" w:color="auto" w:fill="auto"/>
            <w:noWrap/>
            <w:vAlign w:val="bottom"/>
            <w:hideMark/>
          </w:tcPr>
          <w:p w14:paraId="145A276C"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w:t>
            </w:r>
          </w:p>
        </w:tc>
        <w:tc>
          <w:tcPr>
            <w:tcW w:w="1036" w:type="dxa"/>
            <w:tcBorders>
              <w:top w:val="nil"/>
              <w:left w:val="nil"/>
              <w:bottom w:val="nil"/>
              <w:right w:val="nil"/>
            </w:tcBorders>
            <w:shd w:val="clear" w:color="auto" w:fill="auto"/>
            <w:noWrap/>
            <w:vAlign w:val="bottom"/>
            <w:hideMark/>
          </w:tcPr>
          <w:p w14:paraId="61A707DD"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258%</w:t>
            </w:r>
          </w:p>
        </w:tc>
      </w:tr>
      <w:tr w:rsidR="0064654E" w:rsidRPr="0064654E" w14:paraId="4BE2DE35" w14:textId="77777777" w:rsidTr="0064654E">
        <w:trPr>
          <w:trHeight w:val="20"/>
        </w:trPr>
        <w:tc>
          <w:tcPr>
            <w:tcW w:w="1036" w:type="dxa"/>
            <w:tcBorders>
              <w:top w:val="nil"/>
              <w:left w:val="nil"/>
              <w:bottom w:val="nil"/>
              <w:right w:val="nil"/>
            </w:tcBorders>
            <w:shd w:val="clear" w:color="auto" w:fill="auto"/>
            <w:noWrap/>
            <w:vAlign w:val="bottom"/>
            <w:hideMark/>
          </w:tcPr>
          <w:p w14:paraId="06736B4E"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上海</w:t>
            </w:r>
          </w:p>
        </w:tc>
        <w:tc>
          <w:tcPr>
            <w:tcW w:w="2216" w:type="dxa"/>
            <w:tcBorders>
              <w:top w:val="nil"/>
              <w:left w:val="nil"/>
              <w:bottom w:val="nil"/>
              <w:right w:val="nil"/>
            </w:tcBorders>
            <w:shd w:val="clear" w:color="auto" w:fill="auto"/>
            <w:noWrap/>
            <w:vAlign w:val="bottom"/>
            <w:hideMark/>
          </w:tcPr>
          <w:p w14:paraId="14E84058"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7,404</w:t>
            </w:r>
          </w:p>
        </w:tc>
        <w:tc>
          <w:tcPr>
            <w:tcW w:w="1036" w:type="dxa"/>
            <w:tcBorders>
              <w:top w:val="nil"/>
              <w:left w:val="nil"/>
              <w:bottom w:val="nil"/>
              <w:right w:val="nil"/>
            </w:tcBorders>
            <w:shd w:val="clear" w:color="auto" w:fill="auto"/>
            <w:noWrap/>
            <w:vAlign w:val="bottom"/>
            <w:hideMark/>
          </w:tcPr>
          <w:p w14:paraId="2CF91B81"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w:t>
            </w:r>
          </w:p>
        </w:tc>
        <w:tc>
          <w:tcPr>
            <w:tcW w:w="1036" w:type="dxa"/>
            <w:tcBorders>
              <w:top w:val="nil"/>
              <w:left w:val="nil"/>
              <w:bottom w:val="nil"/>
              <w:right w:val="nil"/>
            </w:tcBorders>
            <w:shd w:val="clear" w:color="auto" w:fill="auto"/>
            <w:noWrap/>
            <w:vAlign w:val="bottom"/>
            <w:hideMark/>
          </w:tcPr>
          <w:p w14:paraId="6BA0EBCB"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w:t>
            </w:r>
          </w:p>
        </w:tc>
        <w:tc>
          <w:tcPr>
            <w:tcW w:w="1576" w:type="dxa"/>
            <w:tcBorders>
              <w:top w:val="nil"/>
              <w:left w:val="nil"/>
              <w:bottom w:val="nil"/>
              <w:right w:val="nil"/>
            </w:tcBorders>
            <w:shd w:val="clear" w:color="auto" w:fill="auto"/>
            <w:noWrap/>
            <w:vAlign w:val="bottom"/>
            <w:hideMark/>
          </w:tcPr>
          <w:p w14:paraId="1782B2F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10.0</w:t>
            </w:r>
          </w:p>
        </w:tc>
        <w:tc>
          <w:tcPr>
            <w:tcW w:w="756" w:type="dxa"/>
            <w:tcBorders>
              <w:top w:val="nil"/>
              <w:left w:val="nil"/>
              <w:bottom w:val="nil"/>
              <w:right w:val="nil"/>
            </w:tcBorders>
            <w:shd w:val="clear" w:color="auto" w:fill="auto"/>
            <w:noWrap/>
            <w:vAlign w:val="bottom"/>
            <w:hideMark/>
          </w:tcPr>
          <w:p w14:paraId="0C18C76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11.9</w:t>
            </w:r>
          </w:p>
        </w:tc>
        <w:tc>
          <w:tcPr>
            <w:tcW w:w="1036" w:type="dxa"/>
            <w:tcBorders>
              <w:top w:val="nil"/>
              <w:left w:val="nil"/>
              <w:bottom w:val="nil"/>
              <w:right w:val="nil"/>
            </w:tcBorders>
            <w:shd w:val="clear" w:color="auto" w:fill="auto"/>
            <w:noWrap/>
            <w:vAlign w:val="bottom"/>
            <w:hideMark/>
          </w:tcPr>
          <w:p w14:paraId="2DA6CF8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-16%</w:t>
            </w:r>
          </w:p>
        </w:tc>
        <w:tc>
          <w:tcPr>
            <w:tcW w:w="1036" w:type="dxa"/>
            <w:tcBorders>
              <w:top w:val="nil"/>
              <w:left w:val="nil"/>
              <w:bottom w:val="nil"/>
              <w:right w:val="nil"/>
            </w:tcBorders>
            <w:shd w:val="clear" w:color="auto" w:fill="auto"/>
            <w:noWrap/>
            <w:vAlign w:val="bottom"/>
            <w:hideMark/>
          </w:tcPr>
          <w:p w14:paraId="7374335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76%</w:t>
            </w:r>
          </w:p>
        </w:tc>
      </w:tr>
      <w:tr w:rsidR="0064654E" w:rsidRPr="0064654E" w14:paraId="5ECB1463" w14:textId="77777777" w:rsidTr="0064654E">
        <w:trPr>
          <w:trHeight w:val="20"/>
        </w:trPr>
        <w:tc>
          <w:tcPr>
            <w:tcW w:w="1036" w:type="dxa"/>
            <w:tcBorders>
              <w:top w:val="nil"/>
              <w:left w:val="nil"/>
              <w:bottom w:val="nil"/>
              <w:right w:val="nil"/>
            </w:tcBorders>
            <w:shd w:val="clear" w:color="auto" w:fill="auto"/>
            <w:noWrap/>
            <w:vAlign w:val="bottom"/>
            <w:hideMark/>
          </w:tcPr>
          <w:p w14:paraId="5973814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广州</w:t>
            </w:r>
          </w:p>
        </w:tc>
        <w:tc>
          <w:tcPr>
            <w:tcW w:w="2216" w:type="dxa"/>
            <w:tcBorders>
              <w:top w:val="nil"/>
              <w:left w:val="nil"/>
              <w:bottom w:val="nil"/>
              <w:right w:val="nil"/>
            </w:tcBorders>
            <w:shd w:val="clear" w:color="auto" w:fill="auto"/>
            <w:noWrap/>
            <w:vAlign w:val="bottom"/>
            <w:hideMark/>
          </w:tcPr>
          <w:p w14:paraId="3F335B7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7,698</w:t>
            </w:r>
          </w:p>
        </w:tc>
        <w:tc>
          <w:tcPr>
            <w:tcW w:w="1036" w:type="dxa"/>
            <w:tcBorders>
              <w:top w:val="nil"/>
              <w:left w:val="nil"/>
              <w:bottom w:val="nil"/>
              <w:right w:val="nil"/>
            </w:tcBorders>
            <w:shd w:val="clear" w:color="auto" w:fill="auto"/>
            <w:noWrap/>
            <w:vAlign w:val="bottom"/>
            <w:hideMark/>
          </w:tcPr>
          <w:p w14:paraId="3048691A"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0%</w:t>
            </w:r>
          </w:p>
        </w:tc>
        <w:tc>
          <w:tcPr>
            <w:tcW w:w="1036" w:type="dxa"/>
            <w:tcBorders>
              <w:top w:val="nil"/>
              <w:left w:val="nil"/>
              <w:bottom w:val="nil"/>
              <w:right w:val="nil"/>
            </w:tcBorders>
            <w:shd w:val="clear" w:color="auto" w:fill="auto"/>
            <w:noWrap/>
            <w:vAlign w:val="bottom"/>
            <w:hideMark/>
          </w:tcPr>
          <w:p w14:paraId="64F4DCDD"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-7%</w:t>
            </w:r>
          </w:p>
        </w:tc>
        <w:tc>
          <w:tcPr>
            <w:tcW w:w="1576" w:type="dxa"/>
            <w:tcBorders>
              <w:top w:val="nil"/>
              <w:left w:val="nil"/>
              <w:bottom w:val="nil"/>
              <w:right w:val="nil"/>
            </w:tcBorders>
            <w:shd w:val="clear" w:color="auto" w:fill="auto"/>
            <w:noWrap/>
            <w:vAlign w:val="bottom"/>
            <w:hideMark/>
          </w:tcPr>
          <w:p w14:paraId="20CA02FF"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12.3</w:t>
            </w:r>
          </w:p>
        </w:tc>
        <w:tc>
          <w:tcPr>
            <w:tcW w:w="756" w:type="dxa"/>
            <w:tcBorders>
              <w:top w:val="nil"/>
              <w:left w:val="nil"/>
              <w:bottom w:val="nil"/>
              <w:right w:val="nil"/>
            </w:tcBorders>
            <w:shd w:val="clear" w:color="auto" w:fill="auto"/>
            <w:noWrap/>
            <w:vAlign w:val="bottom"/>
            <w:hideMark/>
          </w:tcPr>
          <w:p w14:paraId="00E1BC0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15.7</w:t>
            </w:r>
          </w:p>
        </w:tc>
        <w:tc>
          <w:tcPr>
            <w:tcW w:w="1036" w:type="dxa"/>
            <w:tcBorders>
              <w:top w:val="nil"/>
              <w:left w:val="nil"/>
              <w:bottom w:val="nil"/>
              <w:right w:val="nil"/>
            </w:tcBorders>
            <w:shd w:val="clear" w:color="auto" w:fill="auto"/>
            <w:noWrap/>
            <w:vAlign w:val="bottom"/>
            <w:hideMark/>
          </w:tcPr>
          <w:p w14:paraId="6EF6B4F3"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-22%</w:t>
            </w:r>
          </w:p>
        </w:tc>
        <w:tc>
          <w:tcPr>
            <w:tcW w:w="1036" w:type="dxa"/>
            <w:tcBorders>
              <w:top w:val="nil"/>
              <w:left w:val="nil"/>
              <w:bottom w:val="nil"/>
              <w:right w:val="nil"/>
            </w:tcBorders>
            <w:shd w:val="clear" w:color="auto" w:fill="auto"/>
            <w:noWrap/>
            <w:vAlign w:val="bottom"/>
            <w:hideMark/>
          </w:tcPr>
          <w:p w14:paraId="0988C3C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43%</w:t>
            </w:r>
          </w:p>
        </w:tc>
      </w:tr>
      <w:tr w:rsidR="0064654E" w:rsidRPr="0064654E" w14:paraId="5451059F" w14:textId="77777777" w:rsidTr="0064654E">
        <w:trPr>
          <w:trHeight w:val="20"/>
        </w:trPr>
        <w:tc>
          <w:tcPr>
            <w:tcW w:w="1036" w:type="dxa"/>
            <w:tcBorders>
              <w:top w:val="nil"/>
              <w:left w:val="nil"/>
              <w:bottom w:val="nil"/>
              <w:right w:val="nil"/>
            </w:tcBorders>
            <w:shd w:val="clear" w:color="auto" w:fill="auto"/>
            <w:noWrap/>
            <w:vAlign w:val="bottom"/>
            <w:hideMark/>
          </w:tcPr>
          <w:p w14:paraId="2FDA002B"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深圳</w:t>
            </w:r>
          </w:p>
        </w:tc>
        <w:tc>
          <w:tcPr>
            <w:tcW w:w="2216" w:type="dxa"/>
            <w:tcBorders>
              <w:top w:val="nil"/>
              <w:left w:val="nil"/>
              <w:bottom w:val="nil"/>
              <w:right w:val="nil"/>
            </w:tcBorders>
            <w:shd w:val="clear" w:color="auto" w:fill="auto"/>
            <w:noWrap/>
            <w:vAlign w:val="bottom"/>
            <w:hideMark/>
          </w:tcPr>
          <w:p w14:paraId="5945422B"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2,578</w:t>
            </w:r>
          </w:p>
        </w:tc>
        <w:tc>
          <w:tcPr>
            <w:tcW w:w="1036" w:type="dxa"/>
            <w:tcBorders>
              <w:top w:val="nil"/>
              <w:left w:val="nil"/>
              <w:bottom w:val="nil"/>
              <w:right w:val="nil"/>
            </w:tcBorders>
            <w:shd w:val="clear" w:color="auto" w:fill="auto"/>
            <w:noWrap/>
            <w:vAlign w:val="bottom"/>
            <w:hideMark/>
          </w:tcPr>
          <w:p w14:paraId="51084F93"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0%</w:t>
            </w:r>
          </w:p>
        </w:tc>
        <w:tc>
          <w:tcPr>
            <w:tcW w:w="1036" w:type="dxa"/>
            <w:tcBorders>
              <w:top w:val="nil"/>
              <w:left w:val="nil"/>
              <w:bottom w:val="nil"/>
              <w:right w:val="nil"/>
            </w:tcBorders>
            <w:shd w:val="clear" w:color="auto" w:fill="auto"/>
            <w:noWrap/>
            <w:vAlign w:val="bottom"/>
            <w:hideMark/>
          </w:tcPr>
          <w:p w14:paraId="46E1A014"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-21%</w:t>
            </w:r>
          </w:p>
        </w:tc>
        <w:tc>
          <w:tcPr>
            <w:tcW w:w="1576" w:type="dxa"/>
            <w:tcBorders>
              <w:top w:val="nil"/>
              <w:left w:val="nil"/>
              <w:bottom w:val="nil"/>
              <w:right w:val="nil"/>
            </w:tcBorders>
            <w:shd w:val="clear" w:color="auto" w:fill="auto"/>
            <w:noWrap/>
            <w:vAlign w:val="bottom"/>
            <w:hideMark/>
          </w:tcPr>
          <w:p w14:paraId="58C70BC3"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7.8</w:t>
            </w:r>
          </w:p>
        </w:tc>
        <w:tc>
          <w:tcPr>
            <w:tcW w:w="756" w:type="dxa"/>
            <w:tcBorders>
              <w:top w:val="nil"/>
              <w:left w:val="nil"/>
              <w:bottom w:val="nil"/>
              <w:right w:val="nil"/>
            </w:tcBorders>
            <w:shd w:val="clear" w:color="auto" w:fill="auto"/>
            <w:noWrap/>
            <w:vAlign w:val="bottom"/>
            <w:hideMark/>
          </w:tcPr>
          <w:p w14:paraId="671B124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8.1</w:t>
            </w:r>
          </w:p>
        </w:tc>
        <w:tc>
          <w:tcPr>
            <w:tcW w:w="1036" w:type="dxa"/>
            <w:tcBorders>
              <w:top w:val="nil"/>
              <w:left w:val="nil"/>
              <w:bottom w:val="nil"/>
              <w:right w:val="nil"/>
            </w:tcBorders>
            <w:shd w:val="clear" w:color="auto" w:fill="auto"/>
            <w:noWrap/>
            <w:vAlign w:val="bottom"/>
            <w:hideMark/>
          </w:tcPr>
          <w:p w14:paraId="149910DA"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w:t>
            </w:r>
          </w:p>
        </w:tc>
        <w:tc>
          <w:tcPr>
            <w:tcW w:w="1036" w:type="dxa"/>
            <w:tcBorders>
              <w:top w:val="nil"/>
              <w:left w:val="nil"/>
              <w:bottom w:val="nil"/>
              <w:right w:val="nil"/>
            </w:tcBorders>
            <w:shd w:val="clear" w:color="auto" w:fill="auto"/>
            <w:noWrap/>
            <w:vAlign w:val="bottom"/>
            <w:hideMark/>
          </w:tcPr>
          <w:p w14:paraId="4F28339E"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-27%</w:t>
            </w:r>
          </w:p>
        </w:tc>
      </w:tr>
      <w:tr w:rsidR="0064654E" w:rsidRPr="0064654E" w14:paraId="3DCB85BC" w14:textId="77777777" w:rsidTr="0064654E">
        <w:trPr>
          <w:trHeight w:val="20"/>
        </w:trPr>
        <w:tc>
          <w:tcPr>
            <w:tcW w:w="1036" w:type="dxa"/>
            <w:tcBorders>
              <w:top w:val="nil"/>
              <w:left w:val="nil"/>
              <w:bottom w:val="nil"/>
              <w:right w:val="nil"/>
            </w:tcBorders>
            <w:shd w:val="clear" w:color="000000" w:fill="D9D9D9"/>
            <w:noWrap/>
            <w:vAlign w:val="bottom"/>
            <w:hideMark/>
          </w:tcPr>
          <w:p w14:paraId="43517AB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一线城市</w:t>
            </w:r>
          </w:p>
        </w:tc>
        <w:tc>
          <w:tcPr>
            <w:tcW w:w="2216" w:type="dxa"/>
            <w:tcBorders>
              <w:top w:val="nil"/>
              <w:left w:val="nil"/>
              <w:bottom w:val="nil"/>
              <w:right w:val="nil"/>
            </w:tcBorders>
            <w:shd w:val="clear" w:color="000000" w:fill="D9D9D9"/>
            <w:noWrap/>
            <w:vAlign w:val="bottom"/>
            <w:hideMark/>
          </w:tcPr>
          <w:p w14:paraId="27DD325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1036" w:type="dxa"/>
            <w:tcBorders>
              <w:top w:val="nil"/>
              <w:left w:val="nil"/>
              <w:bottom w:val="nil"/>
              <w:right w:val="nil"/>
            </w:tcBorders>
            <w:shd w:val="clear" w:color="000000" w:fill="D9D9D9"/>
            <w:noWrap/>
            <w:vAlign w:val="bottom"/>
            <w:hideMark/>
          </w:tcPr>
          <w:p w14:paraId="6BE1237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w:t>
            </w:r>
          </w:p>
        </w:tc>
        <w:tc>
          <w:tcPr>
            <w:tcW w:w="1036" w:type="dxa"/>
            <w:tcBorders>
              <w:top w:val="nil"/>
              <w:left w:val="nil"/>
              <w:bottom w:val="nil"/>
              <w:right w:val="nil"/>
            </w:tcBorders>
            <w:shd w:val="clear" w:color="000000" w:fill="D9D9D9"/>
            <w:noWrap/>
            <w:vAlign w:val="bottom"/>
            <w:hideMark/>
          </w:tcPr>
          <w:p w14:paraId="371ABA1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-4%</w:t>
            </w:r>
          </w:p>
        </w:tc>
        <w:tc>
          <w:tcPr>
            <w:tcW w:w="1576" w:type="dxa"/>
            <w:tcBorders>
              <w:top w:val="nil"/>
              <w:left w:val="nil"/>
              <w:bottom w:val="nil"/>
              <w:right w:val="nil"/>
            </w:tcBorders>
            <w:shd w:val="clear" w:color="000000" w:fill="D9D9D9"/>
            <w:noWrap/>
            <w:vAlign w:val="bottom"/>
            <w:hideMark/>
          </w:tcPr>
          <w:p w14:paraId="1760E13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17.4</w:t>
            </w:r>
          </w:p>
        </w:tc>
        <w:tc>
          <w:tcPr>
            <w:tcW w:w="756" w:type="dxa"/>
            <w:tcBorders>
              <w:top w:val="nil"/>
              <w:left w:val="nil"/>
              <w:bottom w:val="nil"/>
              <w:right w:val="nil"/>
            </w:tcBorders>
            <w:shd w:val="clear" w:color="000000" w:fill="D9D9D9"/>
            <w:noWrap/>
            <w:vAlign w:val="bottom"/>
            <w:hideMark/>
          </w:tcPr>
          <w:p w14:paraId="7AADAA7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19.2</w:t>
            </w:r>
          </w:p>
        </w:tc>
        <w:tc>
          <w:tcPr>
            <w:tcW w:w="1036" w:type="dxa"/>
            <w:tcBorders>
              <w:top w:val="nil"/>
              <w:left w:val="nil"/>
              <w:bottom w:val="nil"/>
              <w:right w:val="nil"/>
            </w:tcBorders>
            <w:shd w:val="clear" w:color="000000" w:fill="D9D9D9"/>
            <w:noWrap/>
            <w:vAlign w:val="bottom"/>
            <w:hideMark/>
          </w:tcPr>
          <w:p w14:paraId="73707D4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-11%</w:t>
            </w:r>
          </w:p>
        </w:tc>
        <w:tc>
          <w:tcPr>
            <w:tcW w:w="1036" w:type="dxa"/>
            <w:tcBorders>
              <w:top w:val="nil"/>
              <w:left w:val="nil"/>
              <w:bottom w:val="nil"/>
              <w:right w:val="nil"/>
            </w:tcBorders>
            <w:shd w:val="clear" w:color="000000" w:fill="D9D9D9"/>
            <w:noWrap/>
            <w:vAlign w:val="bottom"/>
            <w:hideMark/>
          </w:tcPr>
          <w:p w14:paraId="3D81F61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88%</w:t>
            </w:r>
          </w:p>
        </w:tc>
      </w:tr>
      <w:tr w:rsidR="0064654E" w:rsidRPr="0064654E" w14:paraId="3071680B" w14:textId="77777777" w:rsidTr="0064654E">
        <w:trPr>
          <w:trHeight w:val="20"/>
        </w:trPr>
        <w:tc>
          <w:tcPr>
            <w:tcW w:w="1036" w:type="dxa"/>
            <w:tcBorders>
              <w:top w:val="nil"/>
              <w:left w:val="nil"/>
              <w:bottom w:val="nil"/>
              <w:right w:val="nil"/>
            </w:tcBorders>
            <w:shd w:val="clear" w:color="auto" w:fill="auto"/>
            <w:noWrap/>
            <w:vAlign w:val="bottom"/>
            <w:hideMark/>
          </w:tcPr>
          <w:p w14:paraId="43D656E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杭州</w:t>
            </w:r>
          </w:p>
        </w:tc>
        <w:tc>
          <w:tcPr>
            <w:tcW w:w="2216" w:type="dxa"/>
            <w:tcBorders>
              <w:top w:val="nil"/>
              <w:left w:val="nil"/>
              <w:bottom w:val="nil"/>
              <w:right w:val="nil"/>
            </w:tcBorders>
            <w:shd w:val="clear" w:color="auto" w:fill="auto"/>
            <w:noWrap/>
            <w:vAlign w:val="bottom"/>
            <w:hideMark/>
          </w:tcPr>
          <w:p w14:paraId="10D10BC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3,102</w:t>
            </w:r>
          </w:p>
        </w:tc>
        <w:tc>
          <w:tcPr>
            <w:tcW w:w="1036" w:type="dxa"/>
            <w:tcBorders>
              <w:top w:val="nil"/>
              <w:left w:val="nil"/>
              <w:bottom w:val="nil"/>
              <w:right w:val="nil"/>
            </w:tcBorders>
            <w:shd w:val="clear" w:color="auto" w:fill="auto"/>
            <w:noWrap/>
            <w:vAlign w:val="bottom"/>
            <w:hideMark/>
          </w:tcPr>
          <w:p w14:paraId="3EBD90AF"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w:t>
            </w:r>
          </w:p>
        </w:tc>
        <w:tc>
          <w:tcPr>
            <w:tcW w:w="1036" w:type="dxa"/>
            <w:tcBorders>
              <w:top w:val="nil"/>
              <w:left w:val="nil"/>
              <w:bottom w:val="nil"/>
              <w:right w:val="nil"/>
            </w:tcBorders>
            <w:shd w:val="clear" w:color="auto" w:fill="auto"/>
            <w:noWrap/>
            <w:vAlign w:val="bottom"/>
            <w:hideMark/>
          </w:tcPr>
          <w:p w14:paraId="096456AE"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21%</w:t>
            </w:r>
          </w:p>
        </w:tc>
        <w:tc>
          <w:tcPr>
            <w:tcW w:w="1576" w:type="dxa"/>
            <w:tcBorders>
              <w:top w:val="nil"/>
              <w:left w:val="nil"/>
              <w:bottom w:val="nil"/>
              <w:right w:val="nil"/>
            </w:tcBorders>
            <w:shd w:val="clear" w:color="auto" w:fill="auto"/>
            <w:noWrap/>
            <w:vAlign w:val="bottom"/>
            <w:hideMark/>
          </w:tcPr>
          <w:p w14:paraId="695E012A"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4.9</w:t>
            </w:r>
          </w:p>
        </w:tc>
        <w:tc>
          <w:tcPr>
            <w:tcW w:w="756" w:type="dxa"/>
            <w:tcBorders>
              <w:top w:val="nil"/>
              <w:left w:val="nil"/>
              <w:bottom w:val="nil"/>
              <w:right w:val="nil"/>
            </w:tcBorders>
            <w:shd w:val="clear" w:color="auto" w:fill="auto"/>
            <w:noWrap/>
            <w:vAlign w:val="bottom"/>
            <w:hideMark/>
          </w:tcPr>
          <w:p w14:paraId="565F8BB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4.9</w:t>
            </w:r>
          </w:p>
        </w:tc>
        <w:tc>
          <w:tcPr>
            <w:tcW w:w="1036" w:type="dxa"/>
            <w:tcBorders>
              <w:top w:val="nil"/>
              <w:left w:val="nil"/>
              <w:bottom w:val="nil"/>
              <w:right w:val="nil"/>
            </w:tcBorders>
            <w:shd w:val="clear" w:color="auto" w:fill="auto"/>
            <w:noWrap/>
            <w:vAlign w:val="bottom"/>
            <w:hideMark/>
          </w:tcPr>
          <w:p w14:paraId="2A7EBA34"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w:t>
            </w:r>
          </w:p>
        </w:tc>
        <w:tc>
          <w:tcPr>
            <w:tcW w:w="1036" w:type="dxa"/>
            <w:tcBorders>
              <w:top w:val="nil"/>
              <w:left w:val="nil"/>
              <w:bottom w:val="nil"/>
              <w:right w:val="nil"/>
            </w:tcBorders>
            <w:shd w:val="clear" w:color="auto" w:fill="auto"/>
            <w:noWrap/>
            <w:vAlign w:val="bottom"/>
            <w:hideMark/>
          </w:tcPr>
          <w:p w14:paraId="5ABA1982"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17%</w:t>
            </w:r>
          </w:p>
        </w:tc>
      </w:tr>
      <w:tr w:rsidR="0064654E" w:rsidRPr="0064654E" w14:paraId="112BE90D" w14:textId="77777777" w:rsidTr="0064654E">
        <w:trPr>
          <w:trHeight w:val="20"/>
        </w:trPr>
        <w:tc>
          <w:tcPr>
            <w:tcW w:w="1036" w:type="dxa"/>
            <w:tcBorders>
              <w:top w:val="nil"/>
              <w:left w:val="nil"/>
              <w:bottom w:val="nil"/>
              <w:right w:val="nil"/>
            </w:tcBorders>
            <w:shd w:val="clear" w:color="auto" w:fill="auto"/>
            <w:noWrap/>
            <w:vAlign w:val="bottom"/>
            <w:hideMark/>
          </w:tcPr>
          <w:p w14:paraId="09B14358"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南京</w:t>
            </w:r>
          </w:p>
        </w:tc>
        <w:tc>
          <w:tcPr>
            <w:tcW w:w="2216" w:type="dxa"/>
            <w:tcBorders>
              <w:top w:val="nil"/>
              <w:left w:val="nil"/>
              <w:bottom w:val="nil"/>
              <w:right w:val="nil"/>
            </w:tcBorders>
            <w:shd w:val="clear" w:color="auto" w:fill="auto"/>
            <w:noWrap/>
            <w:vAlign w:val="bottom"/>
            <w:hideMark/>
          </w:tcPr>
          <w:p w14:paraId="7071362C"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5,756</w:t>
            </w:r>
          </w:p>
        </w:tc>
        <w:tc>
          <w:tcPr>
            <w:tcW w:w="1036" w:type="dxa"/>
            <w:tcBorders>
              <w:top w:val="nil"/>
              <w:left w:val="nil"/>
              <w:bottom w:val="nil"/>
              <w:right w:val="nil"/>
            </w:tcBorders>
            <w:shd w:val="clear" w:color="auto" w:fill="auto"/>
            <w:noWrap/>
            <w:vAlign w:val="bottom"/>
            <w:hideMark/>
          </w:tcPr>
          <w:p w14:paraId="4238207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w:t>
            </w:r>
          </w:p>
        </w:tc>
        <w:tc>
          <w:tcPr>
            <w:tcW w:w="1036" w:type="dxa"/>
            <w:tcBorders>
              <w:top w:val="nil"/>
              <w:left w:val="nil"/>
              <w:bottom w:val="nil"/>
              <w:right w:val="nil"/>
            </w:tcBorders>
            <w:shd w:val="clear" w:color="auto" w:fill="auto"/>
            <w:noWrap/>
            <w:vAlign w:val="bottom"/>
            <w:hideMark/>
          </w:tcPr>
          <w:p w14:paraId="7E4206AF"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67%</w:t>
            </w:r>
          </w:p>
        </w:tc>
        <w:tc>
          <w:tcPr>
            <w:tcW w:w="1576" w:type="dxa"/>
            <w:tcBorders>
              <w:top w:val="nil"/>
              <w:left w:val="nil"/>
              <w:bottom w:val="nil"/>
              <w:right w:val="nil"/>
            </w:tcBorders>
            <w:shd w:val="clear" w:color="auto" w:fill="auto"/>
            <w:noWrap/>
            <w:vAlign w:val="bottom"/>
            <w:hideMark/>
          </w:tcPr>
          <w:p w14:paraId="46077424"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8.1</w:t>
            </w:r>
          </w:p>
        </w:tc>
        <w:tc>
          <w:tcPr>
            <w:tcW w:w="756" w:type="dxa"/>
            <w:tcBorders>
              <w:top w:val="nil"/>
              <w:left w:val="nil"/>
              <w:bottom w:val="nil"/>
              <w:right w:val="nil"/>
            </w:tcBorders>
            <w:shd w:val="clear" w:color="auto" w:fill="auto"/>
            <w:noWrap/>
            <w:vAlign w:val="bottom"/>
            <w:hideMark/>
          </w:tcPr>
          <w:p w14:paraId="26FF59A1"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9.7</w:t>
            </w:r>
          </w:p>
        </w:tc>
        <w:tc>
          <w:tcPr>
            <w:tcW w:w="1036" w:type="dxa"/>
            <w:tcBorders>
              <w:top w:val="nil"/>
              <w:left w:val="nil"/>
              <w:bottom w:val="nil"/>
              <w:right w:val="nil"/>
            </w:tcBorders>
            <w:shd w:val="clear" w:color="auto" w:fill="auto"/>
            <w:noWrap/>
            <w:vAlign w:val="bottom"/>
            <w:hideMark/>
          </w:tcPr>
          <w:p w14:paraId="2D1E331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-17%</w:t>
            </w:r>
          </w:p>
        </w:tc>
        <w:tc>
          <w:tcPr>
            <w:tcW w:w="1036" w:type="dxa"/>
            <w:tcBorders>
              <w:top w:val="nil"/>
              <w:left w:val="nil"/>
              <w:bottom w:val="nil"/>
              <w:right w:val="nil"/>
            </w:tcBorders>
            <w:shd w:val="clear" w:color="auto" w:fill="auto"/>
            <w:noWrap/>
            <w:vAlign w:val="bottom"/>
            <w:hideMark/>
          </w:tcPr>
          <w:p w14:paraId="7A9A6BF1"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59%</w:t>
            </w:r>
          </w:p>
        </w:tc>
      </w:tr>
      <w:tr w:rsidR="0064654E" w:rsidRPr="0064654E" w14:paraId="1A7419AB" w14:textId="77777777" w:rsidTr="0064654E">
        <w:trPr>
          <w:trHeight w:val="20"/>
        </w:trPr>
        <w:tc>
          <w:tcPr>
            <w:tcW w:w="1036" w:type="dxa"/>
            <w:tcBorders>
              <w:top w:val="nil"/>
              <w:left w:val="nil"/>
              <w:bottom w:val="nil"/>
              <w:right w:val="nil"/>
            </w:tcBorders>
            <w:shd w:val="clear" w:color="auto" w:fill="auto"/>
            <w:noWrap/>
            <w:vAlign w:val="bottom"/>
            <w:hideMark/>
          </w:tcPr>
          <w:p w14:paraId="5C984BCC"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苏州</w:t>
            </w:r>
          </w:p>
        </w:tc>
        <w:tc>
          <w:tcPr>
            <w:tcW w:w="2216" w:type="dxa"/>
            <w:tcBorders>
              <w:top w:val="nil"/>
              <w:left w:val="nil"/>
              <w:bottom w:val="nil"/>
              <w:right w:val="nil"/>
            </w:tcBorders>
            <w:shd w:val="clear" w:color="auto" w:fill="auto"/>
            <w:noWrap/>
            <w:vAlign w:val="bottom"/>
            <w:hideMark/>
          </w:tcPr>
          <w:p w14:paraId="59A0B42A"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5,609</w:t>
            </w:r>
          </w:p>
        </w:tc>
        <w:tc>
          <w:tcPr>
            <w:tcW w:w="1036" w:type="dxa"/>
            <w:tcBorders>
              <w:top w:val="nil"/>
              <w:left w:val="nil"/>
              <w:bottom w:val="nil"/>
              <w:right w:val="nil"/>
            </w:tcBorders>
            <w:shd w:val="clear" w:color="auto" w:fill="auto"/>
            <w:noWrap/>
            <w:vAlign w:val="bottom"/>
            <w:hideMark/>
          </w:tcPr>
          <w:p w14:paraId="052C8E0C"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3%</w:t>
            </w:r>
          </w:p>
        </w:tc>
        <w:tc>
          <w:tcPr>
            <w:tcW w:w="1036" w:type="dxa"/>
            <w:tcBorders>
              <w:top w:val="nil"/>
              <w:left w:val="nil"/>
              <w:bottom w:val="nil"/>
              <w:right w:val="nil"/>
            </w:tcBorders>
            <w:shd w:val="clear" w:color="auto" w:fill="auto"/>
            <w:noWrap/>
            <w:vAlign w:val="bottom"/>
            <w:hideMark/>
          </w:tcPr>
          <w:p w14:paraId="19520D3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w:t>
            </w:r>
          </w:p>
        </w:tc>
        <w:tc>
          <w:tcPr>
            <w:tcW w:w="1576" w:type="dxa"/>
            <w:tcBorders>
              <w:top w:val="nil"/>
              <w:left w:val="nil"/>
              <w:bottom w:val="nil"/>
              <w:right w:val="nil"/>
            </w:tcBorders>
            <w:shd w:val="clear" w:color="auto" w:fill="auto"/>
            <w:noWrap/>
            <w:vAlign w:val="bottom"/>
            <w:hideMark/>
          </w:tcPr>
          <w:p w14:paraId="7BD1F348"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8.4</w:t>
            </w:r>
          </w:p>
        </w:tc>
        <w:tc>
          <w:tcPr>
            <w:tcW w:w="756" w:type="dxa"/>
            <w:tcBorders>
              <w:top w:val="nil"/>
              <w:left w:val="nil"/>
              <w:bottom w:val="nil"/>
              <w:right w:val="nil"/>
            </w:tcBorders>
            <w:shd w:val="clear" w:color="auto" w:fill="auto"/>
            <w:noWrap/>
            <w:vAlign w:val="bottom"/>
            <w:hideMark/>
          </w:tcPr>
          <w:p w14:paraId="406F1E7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8.3</w:t>
            </w:r>
          </w:p>
        </w:tc>
        <w:tc>
          <w:tcPr>
            <w:tcW w:w="1036" w:type="dxa"/>
            <w:tcBorders>
              <w:top w:val="nil"/>
              <w:left w:val="nil"/>
              <w:bottom w:val="nil"/>
              <w:right w:val="nil"/>
            </w:tcBorders>
            <w:shd w:val="clear" w:color="auto" w:fill="auto"/>
            <w:noWrap/>
            <w:vAlign w:val="bottom"/>
            <w:hideMark/>
          </w:tcPr>
          <w:p w14:paraId="01F0D19E"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w:t>
            </w:r>
          </w:p>
        </w:tc>
        <w:tc>
          <w:tcPr>
            <w:tcW w:w="1036" w:type="dxa"/>
            <w:tcBorders>
              <w:top w:val="nil"/>
              <w:left w:val="nil"/>
              <w:bottom w:val="nil"/>
              <w:right w:val="nil"/>
            </w:tcBorders>
            <w:shd w:val="clear" w:color="auto" w:fill="auto"/>
            <w:noWrap/>
            <w:vAlign w:val="bottom"/>
            <w:hideMark/>
          </w:tcPr>
          <w:p w14:paraId="0EA63CB8"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8%</w:t>
            </w:r>
          </w:p>
        </w:tc>
      </w:tr>
      <w:tr w:rsidR="0064654E" w:rsidRPr="0064654E" w14:paraId="41A90049" w14:textId="77777777" w:rsidTr="0064654E">
        <w:trPr>
          <w:trHeight w:val="20"/>
        </w:trPr>
        <w:tc>
          <w:tcPr>
            <w:tcW w:w="1036" w:type="dxa"/>
            <w:tcBorders>
              <w:top w:val="nil"/>
              <w:left w:val="nil"/>
              <w:bottom w:val="nil"/>
              <w:right w:val="nil"/>
            </w:tcBorders>
            <w:shd w:val="clear" w:color="auto" w:fill="auto"/>
            <w:noWrap/>
            <w:vAlign w:val="bottom"/>
            <w:hideMark/>
          </w:tcPr>
          <w:p w14:paraId="73096FCA"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福州</w:t>
            </w:r>
          </w:p>
        </w:tc>
        <w:tc>
          <w:tcPr>
            <w:tcW w:w="2216" w:type="dxa"/>
            <w:tcBorders>
              <w:top w:val="nil"/>
              <w:left w:val="nil"/>
              <w:bottom w:val="nil"/>
              <w:right w:val="nil"/>
            </w:tcBorders>
            <w:shd w:val="clear" w:color="auto" w:fill="auto"/>
            <w:noWrap/>
            <w:vAlign w:val="bottom"/>
            <w:hideMark/>
          </w:tcPr>
          <w:p w14:paraId="4C127AD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4,761</w:t>
            </w:r>
          </w:p>
        </w:tc>
        <w:tc>
          <w:tcPr>
            <w:tcW w:w="1036" w:type="dxa"/>
            <w:tcBorders>
              <w:top w:val="nil"/>
              <w:left w:val="nil"/>
              <w:bottom w:val="nil"/>
              <w:right w:val="nil"/>
            </w:tcBorders>
            <w:shd w:val="clear" w:color="auto" w:fill="auto"/>
            <w:noWrap/>
            <w:vAlign w:val="bottom"/>
            <w:hideMark/>
          </w:tcPr>
          <w:p w14:paraId="7BFF57A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9%</w:t>
            </w:r>
          </w:p>
        </w:tc>
        <w:tc>
          <w:tcPr>
            <w:tcW w:w="1036" w:type="dxa"/>
            <w:tcBorders>
              <w:top w:val="nil"/>
              <w:left w:val="nil"/>
              <w:bottom w:val="nil"/>
              <w:right w:val="nil"/>
            </w:tcBorders>
            <w:shd w:val="clear" w:color="auto" w:fill="auto"/>
            <w:noWrap/>
            <w:vAlign w:val="bottom"/>
            <w:hideMark/>
          </w:tcPr>
          <w:p w14:paraId="0DD2A1CC"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55%</w:t>
            </w:r>
          </w:p>
        </w:tc>
        <w:tc>
          <w:tcPr>
            <w:tcW w:w="1576" w:type="dxa"/>
            <w:tcBorders>
              <w:top w:val="nil"/>
              <w:left w:val="nil"/>
              <w:bottom w:val="nil"/>
              <w:right w:val="nil"/>
            </w:tcBorders>
            <w:shd w:val="clear" w:color="auto" w:fill="auto"/>
            <w:noWrap/>
            <w:vAlign w:val="bottom"/>
            <w:hideMark/>
          </w:tcPr>
          <w:p w14:paraId="6495D9F6"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25.3</w:t>
            </w:r>
          </w:p>
        </w:tc>
        <w:tc>
          <w:tcPr>
            <w:tcW w:w="756" w:type="dxa"/>
            <w:tcBorders>
              <w:top w:val="nil"/>
              <w:left w:val="nil"/>
              <w:bottom w:val="nil"/>
              <w:right w:val="nil"/>
            </w:tcBorders>
            <w:shd w:val="clear" w:color="auto" w:fill="auto"/>
            <w:noWrap/>
            <w:vAlign w:val="bottom"/>
            <w:hideMark/>
          </w:tcPr>
          <w:p w14:paraId="63D79DD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20.6</w:t>
            </w:r>
          </w:p>
        </w:tc>
        <w:tc>
          <w:tcPr>
            <w:tcW w:w="1036" w:type="dxa"/>
            <w:tcBorders>
              <w:top w:val="nil"/>
              <w:left w:val="nil"/>
              <w:bottom w:val="nil"/>
              <w:right w:val="nil"/>
            </w:tcBorders>
            <w:shd w:val="clear" w:color="auto" w:fill="auto"/>
            <w:noWrap/>
            <w:vAlign w:val="bottom"/>
            <w:hideMark/>
          </w:tcPr>
          <w:p w14:paraId="61CE2088"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22%</w:t>
            </w:r>
          </w:p>
        </w:tc>
        <w:tc>
          <w:tcPr>
            <w:tcW w:w="1036" w:type="dxa"/>
            <w:tcBorders>
              <w:top w:val="nil"/>
              <w:left w:val="nil"/>
              <w:bottom w:val="nil"/>
              <w:right w:val="nil"/>
            </w:tcBorders>
            <w:shd w:val="clear" w:color="auto" w:fill="auto"/>
            <w:noWrap/>
            <w:vAlign w:val="bottom"/>
            <w:hideMark/>
          </w:tcPr>
          <w:p w14:paraId="3BC2F7CB"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93%</w:t>
            </w:r>
          </w:p>
        </w:tc>
      </w:tr>
      <w:tr w:rsidR="0064654E" w:rsidRPr="0064654E" w14:paraId="637F7C04" w14:textId="77777777" w:rsidTr="0064654E">
        <w:trPr>
          <w:trHeight w:val="20"/>
        </w:trPr>
        <w:tc>
          <w:tcPr>
            <w:tcW w:w="1036" w:type="dxa"/>
            <w:tcBorders>
              <w:top w:val="nil"/>
              <w:left w:val="nil"/>
              <w:bottom w:val="nil"/>
              <w:right w:val="nil"/>
            </w:tcBorders>
            <w:shd w:val="clear" w:color="auto" w:fill="auto"/>
            <w:noWrap/>
            <w:vAlign w:val="bottom"/>
            <w:hideMark/>
          </w:tcPr>
          <w:p w14:paraId="0B7CCCAF"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江阴</w:t>
            </w:r>
          </w:p>
        </w:tc>
        <w:tc>
          <w:tcPr>
            <w:tcW w:w="2216" w:type="dxa"/>
            <w:tcBorders>
              <w:top w:val="nil"/>
              <w:left w:val="nil"/>
              <w:bottom w:val="nil"/>
              <w:right w:val="nil"/>
            </w:tcBorders>
            <w:shd w:val="clear" w:color="auto" w:fill="auto"/>
            <w:noWrap/>
            <w:vAlign w:val="bottom"/>
            <w:hideMark/>
          </w:tcPr>
          <w:p w14:paraId="4DC51916"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4,039</w:t>
            </w:r>
          </w:p>
        </w:tc>
        <w:tc>
          <w:tcPr>
            <w:tcW w:w="1036" w:type="dxa"/>
            <w:tcBorders>
              <w:top w:val="nil"/>
              <w:left w:val="nil"/>
              <w:bottom w:val="nil"/>
              <w:right w:val="nil"/>
            </w:tcBorders>
            <w:shd w:val="clear" w:color="auto" w:fill="auto"/>
            <w:noWrap/>
            <w:vAlign w:val="bottom"/>
            <w:hideMark/>
          </w:tcPr>
          <w:p w14:paraId="1D602DB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w:t>
            </w:r>
          </w:p>
        </w:tc>
        <w:tc>
          <w:tcPr>
            <w:tcW w:w="1036" w:type="dxa"/>
            <w:tcBorders>
              <w:top w:val="nil"/>
              <w:left w:val="nil"/>
              <w:bottom w:val="nil"/>
              <w:right w:val="nil"/>
            </w:tcBorders>
            <w:shd w:val="clear" w:color="auto" w:fill="auto"/>
            <w:noWrap/>
            <w:vAlign w:val="bottom"/>
            <w:hideMark/>
          </w:tcPr>
          <w:p w14:paraId="0DC6C5B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-10%</w:t>
            </w:r>
          </w:p>
        </w:tc>
        <w:tc>
          <w:tcPr>
            <w:tcW w:w="1576" w:type="dxa"/>
            <w:tcBorders>
              <w:top w:val="nil"/>
              <w:left w:val="nil"/>
              <w:bottom w:val="nil"/>
              <w:right w:val="nil"/>
            </w:tcBorders>
            <w:shd w:val="clear" w:color="auto" w:fill="auto"/>
            <w:noWrap/>
            <w:vAlign w:val="bottom"/>
            <w:hideMark/>
          </w:tcPr>
          <w:p w14:paraId="1D9A9C4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24.5</w:t>
            </w:r>
          </w:p>
        </w:tc>
        <w:tc>
          <w:tcPr>
            <w:tcW w:w="756" w:type="dxa"/>
            <w:tcBorders>
              <w:top w:val="nil"/>
              <w:left w:val="nil"/>
              <w:bottom w:val="nil"/>
              <w:right w:val="nil"/>
            </w:tcBorders>
            <w:shd w:val="clear" w:color="auto" w:fill="auto"/>
            <w:noWrap/>
            <w:vAlign w:val="bottom"/>
            <w:hideMark/>
          </w:tcPr>
          <w:p w14:paraId="4F68F64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27.5</w:t>
            </w:r>
          </w:p>
        </w:tc>
        <w:tc>
          <w:tcPr>
            <w:tcW w:w="1036" w:type="dxa"/>
            <w:tcBorders>
              <w:top w:val="nil"/>
              <w:left w:val="nil"/>
              <w:bottom w:val="nil"/>
              <w:right w:val="nil"/>
            </w:tcBorders>
            <w:shd w:val="clear" w:color="auto" w:fill="auto"/>
            <w:noWrap/>
            <w:vAlign w:val="bottom"/>
            <w:hideMark/>
          </w:tcPr>
          <w:p w14:paraId="08BCD006"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-11%</w:t>
            </w:r>
          </w:p>
        </w:tc>
        <w:tc>
          <w:tcPr>
            <w:tcW w:w="1036" w:type="dxa"/>
            <w:tcBorders>
              <w:top w:val="nil"/>
              <w:left w:val="nil"/>
              <w:bottom w:val="nil"/>
              <w:right w:val="nil"/>
            </w:tcBorders>
            <w:shd w:val="clear" w:color="auto" w:fill="auto"/>
            <w:noWrap/>
            <w:vAlign w:val="bottom"/>
            <w:hideMark/>
          </w:tcPr>
          <w:p w14:paraId="4E851B91"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8%</w:t>
            </w:r>
          </w:p>
        </w:tc>
      </w:tr>
      <w:tr w:rsidR="0064654E" w:rsidRPr="0064654E" w14:paraId="01D95B77" w14:textId="77777777" w:rsidTr="0064654E">
        <w:trPr>
          <w:trHeight w:val="20"/>
        </w:trPr>
        <w:tc>
          <w:tcPr>
            <w:tcW w:w="1036" w:type="dxa"/>
            <w:tcBorders>
              <w:top w:val="nil"/>
              <w:left w:val="nil"/>
              <w:bottom w:val="nil"/>
              <w:right w:val="nil"/>
            </w:tcBorders>
            <w:shd w:val="clear" w:color="auto" w:fill="auto"/>
            <w:noWrap/>
            <w:vAlign w:val="bottom"/>
            <w:hideMark/>
          </w:tcPr>
          <w:p w14:paraId="2CC58656"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温州</w:t>
            </w:r>
          </w:p>
        </w:tc>
        <w:tc>
          <w:tcPr>
            <w:tcW w:w="2216" w:type="dxa"/>
            <w:tcBorders>
              <w:top w:val="nil"/>
              <w:left w:val="nil"/>
              <w:bottom w:val="nil"/>
              <w:right w:val="nil"/>
            </w:tcBorders>
            <w:shd w:val="clear" w:color="auto" w:fill="auto"/>
            <w:noWrap/>
            <w:vAlign w:val="bottom"/>
            <w:hideMark/>
          </w:tcPr>
          <w:p w14:paraId="30BF65C3"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10,338</w:t>
            </w:r>
          </w:p>
        </w:tc>
        <w:tc>
          <w:tcPr>
            <w:tcW w:w="1036" w:type="dxa"/>
            <w:tcBorders>
              <w:top w:val="nil"/>
              <w:left w:val="nil"/>
              <w:bottom w:val="nil"/>
              <w:right w:val="nil"/>
            </w:tcBorders>
            <w:shd w:val="clear" w:color="auto" w:fill="auto"/>
            <w:noWrap/>
            <w:vAlign w:val="bottom"/>
            <w:hideMark/>
          </w:tcPr>
          <w:p w14:paraId="39AFBF7C"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w:t>
            </w:r>
          </w:p>
        </w:tc>
        <w:tc>
          <w:tcPr>
            <w:tcW w:w="1036" w:type="dxa"/>
            <w:tcBorders>
              <w:top w:val="nil"/>
              <w:left w:val="nil"/>
              <w:bottom w:val="nil"/>
              <w:right w:val="nil"/>
            </w:tcBorders>
            <w:shd w:val="clear" w:color="auto" w:fill="auto"/>
            <w:noWrap/>
            <w:vAlign w:val="bottom"/>
            <w:hideMark/>
          </w:tcPr>
          <w:p w14:paraId="2651C32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8%</w:t>
            </w:r>
          </w:p>
        </w:tc>
        <w:tc>
          <w:tcPr>
            <w:tcW w:w="1576" w:type="dxa"/>
            <w:tcBorders>
              <w:top w:val="nil"/>
              <w:left w:val="nil"/>
              <w:bottom w:val="nil"/>
              <w:right w:val="nil"/>
            </w:tcBorders>
            <w:shd w:val="clear" w:color="auto" w:fill="auto"/>
            <w:noWrap/>
            <w:vAlign w:val="bottom"/>
            <w:hideMark/>
          </w:tcPr>
          <w:p w14:paraId="29B77C9E"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22.5</w:t>
            </w:r>
          </w:p>
        </w:tc>
        <w:tc>
          <w:tcPr>
            <w:tcW w:w="756" w:type="dxa"/>
            <w:tcBorders>
              <w:top w:val="nil"/>
              <w:left w:val="nil"/>
              <w:bottom w:val="nil"/>
              <w:right w:val="nil"/>
            </w:tcBorders>
            <w:shd w:val="clear" w:color="auto" w:fill="auto"/>
            <w:noWrap/>
            <w:vAlign w:val="bottom"/>
            <w:hideMark/>
          </w:tcPr>
          <w:p w14:paraId="7F3472A4"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25.4</w:t>
            </w:r>
          </w:p>
        </w:tc>
        <w:tc>
          <w:tcPr>
            <w:tcW w:w="1036" w:type="dxa"/>
            <w:tcBorders>
              <w:top w:val="nil"/>
              <w:left w:val="nil"/>
              <w:bottom w:val="nil"/>
              <w:right w:val="nil"/>
            </w:tcBorders>
            <w:shd w:val="clear" w:color="auto" w:fill="auto"/>
            <w:noWrap/>
            <w:vAlign w:val="bottom"/>
            <w:hideMark/>
          </w:tcPr>
          <w:p w14:paraId="1A1EF51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-11%</w:t>
            </w:r>
          </w:p>
        </w:tc>
        <w:tc>
          <w:tcPr>
            <w:tcW w:w="1036" w:type="dxa"/>
            <w:tcBorders>
              <w:top w:val="nil"/>
              <w:left w:val="nil"/>
              <w:bottom w:val="nil"/>
              <w:right w:val="nil"/>
            </w:tcBorders>
            <w:shd w:val="clear" w:color="auto" w:fill="auto"/>
            <w:noWrap/>
            <w:vAlign w:val="bottom"/>
            <w:hideMark/>
          </w:tcPr>
          <w:p w14:paraId="30AD4268"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140%</w:t>
            </w:r>
          </w:p>
        </w:tc>
      </w:tr>
      <w:tr w:rsidR="0064654E" w:rsidRPr="0064654E" w14:paraId="2A25D7C5" w14:textId="77777777" w:rsidTr="0064654E">
        <w:trPr>
          <w:trHeight w:val="20"/>
        </w:trPr>
        <w:tc>
          <w:tcPr>
            <w:tcW w:w="1036" w:type="dxa"/>
            <w:tcBorders>
              <w:top w:val="nil"/>
              <w:left w:val="nil"/>
              <w:bottom w:val="nil"/>
              <w:right w:val="nil"/>
            </w:tcBorders>
            <w:shd w:val="clear" w:color="auto" w:fill="auto"/>
            <w:noWrap/>
            <w:vAlign w:val="bottom"/>
            <w:hideMark/>
          </w:tcPr>
          <w:p w14:paraId="0A9682E1"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泉州</w:t>
            </w:r>
          </w:p>
        </w:tc>
        <w:tc>
          <w:tcPr>
            <w:tcW w:w="2216" w:type="dxa"/>
            <w:tcBorders>
              <w:top w:val="nil"/>
              <w:left w:val="nil"/>
              <w:bottom w:val="nil"/>
              <w:right w:val="nil"/>
            </w:tcBorders>
            <w:shd w:val="clear" w:color="auto" w:fill="auto"/>
            <w:noWrap/>
            <w:vAlign w:val="bottom"/>
            <w:hideMark/>
          </w:tcPr>
          <w:p w14:paraId="4B27B061"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7,011</w:t>
            </w:r>
          </w:p>
        </w:tc>
        <w:tc>
          <w:tcPr>
            <w:tcW w:w="1036" w:type="dxa"/>
            <w:tcBorders>
              <w:top w:val="nil"/>
              <w:left w:val="nil"/>
              <w:bottom w:val="nil"/>
              <w:right w:val="nil"/>
            </w:tcBorders>
            <w:shd w:val="clear" w:color="auto" w:fill="auto"/>
            <w:noWrap/>
            <w:vAlign w:val="bottom"/>
            <w:hideMark/>
          </w:tcPr>
          <w:p w14:paraId="4CA6646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0%</w:t>
            </w:r>
          </w:p>
        </w:tc>
        <w:tc>
          <w:tcPr>
            <w:tcW w:w="1036" w:type="dxa"/>
            <w:tcBorders>
              <w:top w:val="nil"/>
              <w:left w:val="nil"/>
              <w:bottom w:val="nil"/>
              <w:right w:val="nil"/>
            </w:tcBorders>
            <w:shd w:val="clear" w:color="auto" w:fill="auto"/>
            <w:noWrap/>
            <w:vAlign w:val="bottom"/>
            <w:hideMark/>
          </w:tcPr>
          <w:p w14:paraId="26659E0E"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8%</w:t>
            </w:r>
          </w:p>
        </w:tc>
        <w:tc>
          <w:tcPr>
            <w:tcW w:w="1576" w:type="dxa"/>
            <w:tcBorders>
              <w:top w:val="nil"/>
              <w:left w:val="nil"/>
              <w:bottom w:val="nil"/>
              <w:right w:val="nil"/>
            </w:tcBorders>
            <w:shd w:val="clear" w:color="auto" w:fill="auto"/>
            <w:noWrap/>
            <w:vAlign w:val="bottom"/>
            <w:hideMark/>
          </w:tcPr>
          <w:p w14:paraId="236D3722"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51.7</w:t>
            </w:r>
          </w:p>
        </w:tc>
        <w:tc>
          <w:tcPr>
            <w:tcW w:w="756" w:type="dxa"/>
            <w:tcBorders>
              <w:top w:val="nil"/>
              <w:left w:val="nil"/>
              <w:bottom w:val="nil"/>
              <w:right w:val="nil"/>
            </w:tcBorders>
            <w:shd w:val="clear" w:color="auto" w:fill="auto"/>
            <w:noWrap/>
            <w:vAlign w:val="bottom"/>
            <w:hideMark/>
          </w:tcPr>
          <w:p w14:paraId="2FE8E81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52.1</w:t>
            </w:r>
          </w:p>
        </w:tc>
        <w:tc>
          <w:tcPr>
            <w:tcW w:w="1036" w:type="dxa"/>
            <w:tcBorders>
              <w:top w:val="nil"/>
              <w:left w:val="nil"/>
              <w:bottom w:val="nil"/>
              <w:right w:val="nil"/>
            </w:tcBorders>
            <w:shd w:val="clear" w:color="auto" w:fill="auto"/>
            <w:noWrap/>
            <w:vAlign w:val="bottom"/>
            <w:hideMark/>
          </w:tcPr>
          <w:p w14:paraId="151CCB4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w:t>
            </w:r>
          </w:p>
        </w:tc>
        <w:tc>
          <w:tcPr>
            <w:tcW w:w="1036" w:type="dxa"/>
            <w:tcBorders>
              <w:top w:val="nil"/>
              <w:left w:val="nil"/>
              <w:bottom w:val="nil"/>
              <w:right w:val="nil"/>
            </w:tcBorders>
            <w:shd w:val="clear" w:color="auto" w:fill="auto"/>
            <w:noWrap/>
            <w:vAlign w:val="bottom"/>
            <w:hideMark/>
          </w:tcPr>
          <w:p w14:paraId="0CAED4C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176%</w:t>
            </w:r>
          </w:p>
        </w:tc>
      </w:tr>
      <w:tr w:rsidR="0064654E" w:rsidRPr="0064654E" w14:paraId="79410CC4" w14:textId="77777777" w:rsidTr="0064654E">
        <w:trPr>
          <w:trHeight w:val="20"/>
        </w:trPr>
        <w:tc>
          <w:tcPr>
            <w:tcW w:w="1036" w:type="dxa"/>
            <w:tcBorders>
              <w:top w:val="nil"/>
              <w:left w:val="nil"/>
              <w:bottom w:val="nil"/>
              <w:right w:val="nil"/>
            </w:tcBorders>
            <w:shd w:val="clear" w:color="auto" w:fill="auto"/>
            <w:noWrap/>
            <w:vAlign w:val="bottom"/>
            <w:hideMark/>
          </w:tcPr>
          <w:p w14:paraId="08D3759D"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宁波</w:t>
            </w:r>
          </w:p>
        </w:tc>
        <w:tc>
          <w:tcPr>
            <w:tcW w:w="2216" w:type="dxa"/>
            <w:tcBorders>
              <w:top w:val="nil"/>
              <w:left w:val="nil"/>
              <w:bottom w:val="nil"/>
              <w:right w:val="nil"/>
            </w:tcBorders>
            <w:shd w:val="clear" w:color="auto" w:fill="auto"/>
            <w:noWrap/>
            <w:vAlign w:val="bottom"/>
            <w:hideMark/>
          </w:tcPr>
          <w:p w14:paraId="3353C1BB"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2,602</w:t>
            </w:r>
          </w:p>
        </w:tc>
        <w:tc>
          <w:tcPr>
            <w:tcW w:w="1036" w:type="dxa"/>
            <w:tcBorders>
              <w:top w:val="nil"/>
              <w:left w:val="nil"/>
              <w:bottom w:val="nil"/>
              <w:right w:val="nil"/>
            </w:tcBorders>
            <w:shd w:val="clear" w:color="auto" w:fill="auto"/>
            <w:noWrap/>
            <w:vAlign w:val="bottom"/>
            <w:hideMark/>
          </w:tcPr>
          <w:p w14:paraId="2F3BF787"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w:t>
            </w:r>
          </w:p>
        </w:tc>
        <w:tc>
          <w:tcPr>
            <w:tcW w:w="1036" w:type="dxa"/>
            <w:tcBorders>
              <w:top w:val="nil"/>
              <w:left w:val="nil"/>
              <w:bottom w:val="nil"/>
              <w:right w:val="nil"/>
            </w:tcBorders>
            <w:shd w:val="clear" w:color="auto" w:fill="auto"/>
            <w:noWrap/>
            <w:vAlign w:val="bottom"/>
            <w:hideMark/>
          </w:tcPr>
          <w:p w14:paraId="2A93D2A8"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-16%</w:t>
            </w:r>
          </w:p>
        </w:tc>
        <w:tc>
          <w:tcPr>
            <w:tcW w:w="1576" w:type="dxa"/>
            <w:tcBorders>
              <w:top w:val="nil"/>
              <w:left w:val="nil"/>
              <w:bottom w:val="nil"/>
              <w:right w:val="nil"/>
            </w:tcBorders>
            <w:shd w:val="clear" w:color="auto" w:fill="auto"/>
            <w:noWrap/>
            <w:vAlign w:val="bottom"/>
            <w:hideMark/>
          </w:tcPr>
          <w:p w14:paraId="04053DFE"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6.2</w:t>
            </w:r>
          </w:p>
        </w:tc>
        <w:tc>
          <w:tcPr>
            <w:tcW w:w="756" w:type="dxa"/>
            <w:tcBorders>
              <w:top w:val="nil"/>
              <w:left w:val="nil"/>
              <w:bottom w:val="nil"/>
              <w:right w:val="nil"/>
            </w:tcBorders>
            <w:shd w:val="clear" w:color="auto" w:fill="auto"/>
            <w:noWrap/>
            <w:vAlign w:val="bottom"/>
            <w:hideMark/>
          </w:tcPr>
          <w:p w14:paraId="5827ED46"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8.5</w:t>
            </w:r>
          </w:p>
        </w:tc>
        <w:tc>
          <w:tcPr>
            <w:tcW w:w="1036" w:type="dxa"/>
            <w:tcBorders>
              <w:top w:val="nil"/>
              <w:left w:val="nil"/>
              <w:bottom w:val="nil"/>
              <w:right w:val="nil"/>
            </w:tcBorders>
            <w:shd w:val="clear" w:color="auto" w:fill="auto"/>
            <w:noWrap/>
            <w:vAlign w:val="bottom"/>
            <w:hideMark/>
          </w:tcPr>
          <w:p w14:paraId="0EC67285"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-27%</w:t>
            </w:r>
          </w:p>
        </w:tc>
        <w:tc>
          <w:tcPr>
            <w:tcW w:w="1036" w:type="dxa"/>
            <w:tcBorders>
              <w:top w:val="nil"/>
              <w:left w:val="nil"/>
              <w:bottom w:val="nil"/>
              <w:right w:val="nil"/>
            </w:tcBorders>
            <w:shd w:val="clear" w:color="auto" w:fill="auto"/>
            <w:noWrap/>
            <w:vAlign w:val="bottom"/>
            <w:hideMark/>
          </w:tcPr>
          <w:p w14:paraId="6E2414DB"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35%</w:t>
            </w:r>
          </w:p>
        </w:tc>
      </w:tr>
      <w:tr w:rsidR="0064654E" w:rsidRPr="0064654E" w14:paraId="59A3FC60" w14:textId="77777777" w:rsidTr="0064654E">
        <w:trPr>
          <w:trHeight w:val="20"/>
        </w:trPr>
        <w:tc>
          <w:tcPr>
            <w:tcW w:w="1036" w:type="dxa"/>
            <w:tcBorders>
              <w:top w:val="nil"/>
              <w:left w:val="nil"/>
              <w:bottom w:val="nil"/>
              <w:right w:val="nil"/>
            </w:tcBorders>
            <w:shd w:val="clear" w:color="auto" w:fill="auto"/>
            <w:noWrap/>
            <w:vAlign w:val="bottom"/>
            <w:hideMark/>
          </w:tcPr>
          <w:p w14:paraId="4F93BB1B"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ascii="楷体" w:hAnsi="楷体" w:cs="Times New Roman" w:hint="eastAsia"/>
                <w:color w:val="000000"/>
                <w:sz w:val="18"/>
                <w:szCs w:val="18"/>
              </w:rPr>
              <w:t>东营</w:t>
            </w:r>
          </w:p>
        </w:tc>
        <w:tc>
          <w:tcPr>
            <w:tcW w:w="2216" w:type="dxa"/>
            <w:tcBorders>
              <w:top w:val="nil"/>
              <w:left w:val="nil"/>
              <w:bottom w:val="nil"/>
              <w:right w:val="nil"/>
            </w:tcBorders>
            <w:shd w:val="clear" w:color="auto" w:fill="auto"/>
            <w:noWrap/>
            <w:vAlign w:val="bottom"/>
            <w:hideMark/>
          </w:tcPr>
          <w:p w14:paraId="717DD70B"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1,620</w:t>
            </w:r>
          </w:p>
        </w:tc>
        <w:tc>
          <w:tcPr>
            <w:tcW w:w="1036" w:type="dxa"/>
            <w:tcBorders>
              <w:top w:val="nil"/>
              <w:left w:val="nil"/>
              <w:bottom w:val="nil"/>
              <w:right w:val="nil"/>
            </w:tcBorders>
            <w:shd w:val="clear" w:color="auto" w:fill="auto"/>
            <w:noWrap/>
            <w:vAlign w:val="bottom"/>
            <w:hideMark/>
          </w:tcPr>
          <w:p w14:paraId="03AFB1D8"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-2%</w:t>
            </w:r>
          </w:p>
        </w:tc>
        <w:tc>
          <w:tcPr>
            <w:tcW w:w="1036" w:type="dxa"/>
            <w:tcBorders>
              <w:top w:val="nil"/>
              <w:left w:val="nil"/>
              <w:bottom w:val="nil"/>
              <w:right w:val="nil"/>
            </w:tcBorders>
            <w:shd w:val="clear" w:color="auto" w:fill="auto"/>
            <w:noWrap/>
            <w:vAlign w:val="bottom"/>
            <w:hideMark/>
          </w:tcPr>
          <w:p w14:paraId="06464DDD"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19%</w:t>
            </w:r>
          </w:p>
        </w:tc>
        <w:tc>
          <w:tcPr>
            <w:tcW w:w="1576" w:type="dxa"/>
            <w:tcBorders>
              <w:top w:val="nil"/>
              <w:left w:val="nil"/>
              <w:bottom w:val="nil"/>
              <w:right w:val="nil"/>
            </w:tcBorders>
            <w:shd w:val="clear" w:color="auto" w:fill="auto"/>
            <w:noWrap/>
            <w:vAlign w:val="bottom"/>
            <w:hideMark/>
          </w:tcPr>
          <w:p w14:paraId="5225D912"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3.1</w:t>
            </w:r>
          </w:p>
        </w:tc>
        <w:tc>
          <w:tcPr>
            <w:tcW w:w="756" w:type="dxa"/>
            <w:tcBorders>
              <w:top w:val="nil"/>
              <w:left w:val="nil"/>
              <w:bottom w:val="nil"/>
              <w:right w:val="nil"/>
            </w:tcBorders>
            <w:shd w:val="clear" w:color="auto" w:fill="auto"/>
            <w:noWrap/>
            <w:vAlign w:val="bottom"/>
            <w:hideMark/>
          </w:tcPr>
          <w:p w14:paraId="110573D0"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5.6</w:t>
            </w:r>
          </w:p>
        </w:tc>
        <w:tc>
          <w:tcPr>
            <w:tcW w:w="1036" w:type="dxa"/>
            <w:tcBorders>
              <w:top w:val="nil"/>
              <w:left w:val="nil"/>
              <w:bottom w:val="nil"/>
              <w:right w:val="nil"/>
            </w:tcBorders>
            <w:shd w:val="clear" w:color="auto" w:fill="auto"/>
            <w:noWrap/>
            <w:vAlign w:val="bottom"/>
            <w:hideMark/>
          </w:tcPr>
          <w:p w14:paraId="1938B819"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-44%</w:t>
            </w:r>
          </w:p>
        </w:tc>
        <w:tc>
          <w:tcPr>
            <w:tcW w:w="1036" w:type="dxa"/>
            <w:tcBorders>
              <w:top w:val="nil"/>
              <w:left w:val="nil"/>
              <w:bottom w:val="nil"/>
              <w:right w:val="nil"/>
            </w:tcBorders>
            <w:shd w:val="clear" w:color="auto" w:fill="auto"/>
            <w:noWrap/>
            <w:vAlign w:val="bottom"/>
            <w:hideMark/>
          </w:tcPr>
          <w:p w14:paraId="2FFB6023" w14:textId="77777777" w:rsidR="0064654E" w:rsidRPr="0064654E" w:rsidRDefault="0064654E" w:rsidP="0064654E">
            <w:pPr>
              <w:spacing w:after="0" w:line="240" w:lineRule="auto"/>
              <w:ind w:right="0"/>
              <w:jc w:val="center"/>
              <w:rPr>
                <w:rFonts w:eastAsia="宋体" w:cs="Times New Roman"/>
                <w:color w:val="000000"/>
                <w:sz w:val="18"/>
                <w:szCs w:val="18"/>
              </w:rPr>
            </w:pPr>
            <w:r w:rsidRPr="0064654E">
              <w:rPr>
                <w:rFonts w:eastAsia="宋体" w:cs="Times New Roman"/>
                <w:color w:val="000000"/>
                <w:sz w:val="18"/>
                <w:szCs w:val="18"/>
              </w:rPr>
              <w:t>-69%</w:t>
            </w:r>
          </w:p>
        </w:tc>
      </w:tr>
      <w:tr w:rsidR="0064654E" w:rsidRPr="0064654E" w14:paraId="7CC8FA88" w14:textId="77777777" w:rsidTr="0064654E">
        <w:trPr>
          <w:trHeight w:val="20"/>
        </w:trPr>
        <w:tc>
          <w:tcPr>
            <w:tcW w:w="1036" w:type="dxa"/>
            <w:tcBorders>
              <w:top w:val="nil"/>
              <w:left w:val="nil"/>
              <w:bottom w:val="nil"/>
              <w:right w:val="nil"/>
            </w:tcBorders>
            <w:shd w:val="clear" w:color="000000" w:fill="D9D9D9"/>
            <w:noWrap/>
            <w:vAlign w:val="bottom"/>
            <w:hideMark/>
          </w:tcPr>
          <w:p w14:paraId="0315CAAB"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平均</w:t>
            </w:r>
          </w:p>
        </w:tc>
        <w:tc>
          <w:tcPr>
            <w:tcW w:w="2216" w:type="dxa"/>
            <w:tcBorders>
              <w:top w:val="nil"/>
              <w:left w:val="nil"/>
              <w:bottom w:val="nil"/>
              <w:right w:val="nil"/>
            </w:tcBorders>
            <w:shd w:val="clear" w:color="000000" w:fill="D9D9D9"/>
            <w:noWrap/>
            <w:vAlign w:val="bottom"/>
            <w:hideMark/>
          </w:tcPr>
          <w:p w14:paraId="760CA2C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1036" w:type="dxa"/>
            <w:tcBorders>
              <w:top w:val="nil"/>
              <w:left w:val="nil"/>
              <w:bottom w:val="nil"/>
              <w:right w:val="nil"/>
            </w:tcBorders>
            <w:shd w:val="clear" w:color="000000" w:fill="D9D9D9"/>
            <w:noWrap/>
            <w:vAlign w:val="bottom"/>
            <w:hideMark/>
          </w:tcPr>
          <w:p w14:paraId="5DCE00B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0.4%</w:t>
            </w:r>
          </w:p>
        </w:tc>
        <w:tc>
          <w:tcPr>
            <w:tcW w:w="1036" w:type="dxa"/>
            <w:tcBorders>
              <w:top w:val="nil"/>
              <w:left w:val="nil"/>
              <w:bottom w:val="nil"/>
              <w:right w:val="nil"/>
            </w:tcBorders>
            <w:shd w:val="clear" w:color="000000" w:fill="D9D9D9"/>
            <w:noWrap/>
            <w:vAlign w:val="bottom"/>
            <w:hideMark/>
          </w:tcPr>
          <w:p w14:paraId="42FE5B7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10%</w:t>
            </w:r>
          </w:p>
        </w:tc>
        <w:tc>
          <w:tcPr>
            <w:tcW w:w="1576" w:type="dxa"/>
            <w:tcBorders>
              <w:top w:val="nil"/>
              <w:left w:val="nil"/>
              <w:bottom w:val="nil"/>
              <w:right w:val="nil"/>
            </w:tcBorders>
            <w:shd w:val="clear" w:color="000000" w:fill="D9D9D9"/>
            <w:noWrap/>
            <w:vAlign w:val="bottom"/>
            <w:hideMark/>
          </w:tcPr>
          <w:p w14:paraId="330724F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17.3</w:t>
            </w:r>
          </w:p>
        </w:tc>
        <w:tc>
          <w:tcPr>
            <w:tcW w:w="756" w:type="dxa"/>
            <w:tcBorders>
              <w:top w:val="nil"/>
              <w:left w:val="nil"/>
              <w:bottom w:val="nil"/>
              <w:right w:val="nil"/>
            </w:tcBorders>
            <w:shd w:val="clear" w:color="000000" w:fill="D9D9D9"/>
            <w:noWrap/>
            <w:vAlign w:val="bottom"/>
            <w:hideMark/>
          </w:tcPr>
          <w:p w14:paraId="3422F26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18.4</w:t>
            </w:r>
          </w:p>
        </w:tc>
        <w:tc>
          <w:tcPr>
            <w:tcW w:w="1036" w:type="dxa"/>
            <w:tcBorders>
              <w:top w:val="nil"/>
              <w:left w:val="nil"/>
              <w:bottom w:val="nil"/>
              <w:right w:val="nil"/>
            </w:tcBorders>
            <w:shd w:val="clear" w:color="000000" w:fill="D9D9D9"/>
            <w:noWrap/>
            <w:vAlign w:val="bottom"/>
            <w:hideMark/>
          </w:tcPr>
          <w:p w14:paraId="3BBB046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-10%</w:t>
            </w:r>
          </w:p>
        </w:tc>
        <w:tc>
          <w:tcPr>
            <w:tcW w:w="1036" w:type="dxa"/>
            <w:tcBorders>
              <w:top w:val="nil"/>
              <w:left w:val="nil"/>
              <w:bottom w:val="nil"/>
              <w:right w:val="nil"/>
            </w:tcBorders>
            <w:shd w:val="clear" w:color="000000" w:fill="D9D9D9"/>
            <w:noWrap/>
            <w:vAlign w:val="bottom"/>
            <w:hideMark/>
          </w:tcPr>
          <w:p w14:paraId="10A3F3B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63%</w:t>
            </w:r>
          </w:p>
        </w:tc>
      </w:tr>
    </w:tbl>
    <w:p w14:paraId="76076EFE" w14:textId="05FA9E3C" w:rsidR="00EF5C8A" w:rsidRPr="00EF5C8A" w:rsidRDefault="00A507E1" w:rsidP="00EF5C8A">
      <w:pPr>
        <w:rPr>
          <w:rFonts w:cs="Times New Roman"/>
          <w:sz w:val="18"/>
          <w:szCs w:val="18"/>
        </w:rPr>
      </w:pPr>
      <w:r>
        <w:rPr>
          <w:rFonts w:cs="Times New Roman"/>
          <w:sz w:val="18"/>
          <w:szCs w:val="18"/>
        </w:rPr>
        <w:t>数据来源</w:t>
      </w:r>
      <w:r w:rsidR="00EF5C8A" w:rsidRPr="00EF5C8A">
        <w:rPr>
          <w:rFonts w:cs="Times New Roman"/>
          <w:sz w:val="18"/>
          <w:szCs w:val="18"/>
        </w:rPr>
        <w:t>：各地房管局，中</w:t>
      </w:r>
      <w:proofErr w:type="gramStart"/>
      <w:r w:rsidR="00EF5C8A" w:rsidRPr="00EF5C8A">
        <w:rPr>
          <w:rFonts w:cs="Times New Roman"/>
          <w:sz w:val="18"/>
          <w:szCs w:val="18"/>
        </w:rPr>
        <w:t>达证券</w:t>
      </w:r>
      <w:proofErr w:type="gramEnd"/>
      <w:r w:rsidR="00EF5C8A" w:rsidRPr="00EF5C8A">
        <w:rPr>
          <w:rFonts w:cs="Times New Roman"/>
          <w:sz w:val="18"/>
          <w:szCs w:val="18"/>
        </w:rPr>
        <w:t>研究</w:t>
      </w:r>
      <w:r w:rsidR="00EF5C8A" w:rsidRPr="00EF5C8A">
        <w:rPr>
          <w:rFonts w:cs="Times New Roman" w:hint="eastAsia"/>
          <w:sz w:val="18"/>
          <w:szCs w:val="18"/>
        </w:rPr>
        <w:t>；注：数据截至</w:t>
      </w:r>
      <w:r w:rsidR="00EF5C8A" w:rsidRPr="00EF5C8A">
        <w:rPr>
          <w:rFonts w:cs="Times New Roman" w:hint="eastAsia"/>
          <w:sz w:val="18"/>
          <w:szCs w:val="18"/>
        </w:rPr>
        <w:t>2</w:t>
      </w:r>
      <w:r w:rsidR="00EF5C8A" w:rsidRPr="00EF5C8A">
        <w:rPr>
          <w:rFonts w:cs="Times New Roman"/>
          <w:sz w:val="18"/>
          <w:szCs w:val="18"/>
        </w:rPr>
        <w:t>020/</w:t>
      </w:r>
      <w:r w:rsidR="0064654E">
        <w:rPr>
          <w:rFonts w:cs="Times New Roman"/>
          <w:sz w:val="18"/>
          <w:szCs w:val="18"/>
        </w:rPr>
        <w:t>4</w:t>
      </w:r>
      <w:r w:rsidR="00EF5C8A" w:rsidRPr="005531C5">
        <w:rPr>
          <w:rFonts w:cs="Times New Roman"/>
          <w:sz w:val="18"/>
          <w:szCs w:val="18"/>
        </w:rPr>
        <w:t>/</w:t>
      </w:r>
      <w:r w:rsidR="0064654E">
        <w:rPr>
          <w:rFonts w:cs="Times New Roman"/>
          <w:sz w:val="18"/>
          <w:szCs w:val="18"/>
        </w:rPr>
        <w:t>3</w:t>
      </w:r>
    </w:p>
    <w:p w14:paraId="1639FBB0" w14:textId="77777777" w:rsidR="00EF5C8A" w:rsidRPr="00EF5C8A" w:rsidRDefault="00EF5C8A" w:rsidP="00EF5C8A">
      <w:pPr>
        <w:rPr>
          <w:rFonts w:eastAsia="PMingLiU" w:cs="Times New Roman"/>
        </w:rPr>
      </w:pPr>
    </w:p>
    <w:p w14:paraId="49795AB1" w14:textId="77777777" w:rsidR="00EF5C8A" w:rsidRPr="00EF5C8A" w:rsidRDefault="00EF5C8A" w:rsidP="00EF5C8A">
      <w:pPr>
        <w:ind w:right="0"/>
        <w:rPr>
          <w:rFonts w:eastAsia="PMingLiU" w:cs="Times New Roman"/>
        </w:rPr>
      </w:pPr>
      <w:r w:rsidRPr="00EF5C8A">
        <w:rPr>
          <w:rFonts w:eastAsia="PMingLiU" w:cs="Times New Roman"/>
        </w:rPr>
        <w:br w:type="page"/>
      </w:r>
    </w:p>
    <w:p w14:paraId="4F990447" w14:textId="77777777" w:rsidR="00EF5C8A" w:rsidRPr="00EF5C8A" w:rsidRDefault="00EF5C8A" w:rsidP="00EF5C8A">
      <w:pPr>
        <w:keepNext/>
        <w:keepLines/>
        <w:spacing w:after="0" w:line="360" w:lineRule="auto"/>
        <w:outlineLvl w:val="1"/>
        <w:rPr>
          <w:rFonts w:cs="Times New Roman"/>
          <w:b/>
          <w:bCs/>
          <w:sz w:val="28"/>
          <w:szCs w:val="26"/>
        </w:rPr>
      </w:pPr>
      <w:r w:rsidRPr="00EF5C8A">
        <w:rPr>
          <w:rFonts w:cs="Times New Roman"/>
          <w:b/>
          <w:bCs/>
          <w:sz w:val="28"/>
          <w:szCs w:val="26"/>
        </w:rPr>
        <w:lastRenderedPageBreak/>
        <w:t>3.2</w:t>
      </w:r>
      <w:r w:rsidRPr="00EF5C8A">
        <w:rPr>
          <w:rFonts w:cs="Times New Roman"/>
          <w:b/>
          <w:bCs/>
          <w:sz w:val="28"/>
          <w:szCs w:val="26"/>
        </w:rPr>
        <w:t>二手房成交及价格数据</w:t>
      </w:r>
    </w:p>
    <w:p w14:paraId="3C45F8AD" w14:textId="3E767CDF" w:rsidR="00EF5C8A" w:rsidRDefault="00EF5C8A" w:rsidP="00EF5C8A">
      <w:pPr>
        <w:spacing w:after="0" w:line="240" w:lineRule="auto"/>
        <w:contextualSpacing/>
        <w:rPr>
          <w:rFonts w:ascii="楷体" w:hAnsi="楷体" w:cs="Times New Roman"/>
          <w:b/>
          <w:bCs/>
          <w:szCs w:val="21"/>
        </w:rPr>
      </w:pPr>
      <w:r w:rsidRPr="000C3AC0">
        <w:rPr>
          <w:rFonts w:cs="Times New Roman" w:hint="eastAsia"/>
          <w:b/>
          <w:bCs/>
          <w:szCs w:val="21"/>
        </w:rPr>
        <w:t>表</w:t>
      </w:r>
      <w:r w:rsidRPr="000C3AC0">
        <w:rPr>
          <w:rFonts w:cs="Times New Roman" w:hint="eastAsia"/>
          <w:b/>
          <w:bCs/>
          <w:szCs w:val="21"/>
        </w:rPr>
        <w:t xml:space="preserve"> </w:t>
      </w:r>
      <w:r w:rsidRPr="000C3AC0">
        <w:rPr>
          <w:rFonts w:cs="Times New Roman"/>
          <w:b/>
          <w:bCs/>
          <w:szCs w:val="21"/>
        </w:rPr>
        <w:fldChar w:fldCharType="begin"/>
      </w:r>
      <w:r w:rsidRPr="000C3AC0">
        <w:rPr>
          <w:rFonts w:cs="Times New Roman"/>
          <w:b/>
          <w:bCs/>
          <w:szCs w:val="21"/>
        </w:rPr>
        <w:instrText xml:space="preserve"> </w:instrText>
      </w:r>
      <w:r w:rsidRPr="000C3AC0">
        <w:rPr>
          <w:rFonts w:cs="Times New Roman" w:hint="eastAsia"/>
          <w:b/>
          <w:bCs/>
          <w:szCs w:val="21"/>
        </w:rPr>
        <w:instrText xml:space="preserve">SEQ </w:instrText>
      </w:r>
      <w:r w:rsidRPr="000C3AC0">
        <w:rPr>
          <w:rFonts w:cs="Times New Roman" w:hint="eastAsia"/>
          <w:b/>
          <w:bCs/>
          <w:szCs w:val="21"/>
        </w:rPr>
        <w:instrText>表</w:instrText>
      </w:r>
      <w:r w:rsidRPr="000C3AC0">
        <w:rPr>
          <w:rFonts w:cs="Times New Roman" w:hint="eastAsia"/>
          <w:b/>
          <w:bCs/>
          <w:szCs w:val="21"/>
        </w:rPr>
        <w:instrText xml:space="preserve"> \* ARABIC</w:instrText>
      </w:r>
      <w:r w:rsidRPr="000C3AC0">
        <w:rPr>
          <w:rFonts w:cs="Times New Roman"/>
          <w:b/>
          <w:bCs/>
          <w:szCs w:val="21"/>
        </w:rPr>
        <w:instrText xml:space="preserve"> </w:instrText>
      </w:r>
      <w:r w:rsidRPr="000C3AC0">
        <w:rPr>
          <w:rFonts w:cs="Times New Roman"/>
          <w:b/>
          <w:bCs/>
          <w:szCs w:val="21"/>
        </w:rPr>
        <w:fldChar w:fldCharType="separate"/>
      </w:r>
      <w:r w:rsidR="00DB5785">
        <w:rPr>
          <w:rFonts w:cs="Times New Roman"/>
          <w:b/>
          <w:bCs/>
          <w:noProof/>
          <w:szCs w:val="21"/>
        </w:rPr>
        <w:t>7</w:t>
      </w:r>
      <w:r w:rsidRPr="000C3AC0">
        <w:rPr>
          <w:rFonts w:cs="Times New Roman"/>
          <w:b/>
          <w:bCs/>
          <w:szCs w:val="21"/>
        </w:rPr>
        <w:fldChar w:fldCharType="end"/>
      </w:r>
      <w:r w:rsidRPr="000C3AC0">
        <w:rPr>
          <w:rFonts w:cs="Times New Roman"/>
          <w:b/>
          <w:bCs/>
          <w:szCs w:val="21"/>
        </w:rPr>
        <w:t>:</w:t>
      </w:r>
      <w:r w:rsidRPr="000C3AC0">
        <w:rPr>
          <w:rFonts w:cs="Times New Roman"/>
          <w:b/>
          <w:bCs/>
          <w:szCs w:val="21"/>
        </w:rPr>
        <w:t>主要城市二手房成交量情况，深圳本年至今涨幅较大</w:t>
      </w:r>
      <w:r w:rsidRPr="000C3AC0">
        <w:rPr>
          <w:rFonts w:ascii="楷体" w:hAnsi="楷体" w:cs="Times New Roman"/>
          <w:b/>
          <w:bCs/>
          <w:szCs w:val="21"/>
        </w:rPr>
        <w:t xml:space="preserve"> </w:t>
      </w:r>
    </w:p>
    <w:p w14:paraId="56AE9190" w14:textId="77777777" w:rsidR="007D5F8C" w:rsidRPr="007D5F8C" w:rsidRDefault="007D5F8C" w:rsidP="00EF5C8A">
      <w:pPr>
        <w:spacing w:after="0" w:line="240" w:lineRule="auto"/>
        <w:contextualSpacing/>
        <w:rPr>
          <w:rFonts w:ascii="楷体" w:hAnsi="楷体" w:cs="Times New Roman"/>
          <w:b/>
          <w:bCs/>
          <w:sz w:val="4"/>
          <w:szCs w:val="4"/>
        </w:rPr>
      </w:pPr>
    </w:p>
    <w:tbl>
      <w:tblPr>
        <w:tblW w:w="10206" w:type="dxa"/>
        <w:tblLook w:val="04A0" w:firstRow="1" w:lastRow="0" w:firstColumn="1" w:lastColumn="0" w:noHBand="0" w:noVBand="1"/>
      </w:tblPr>
      <w:tblGrid>
        <w:gridCol w:w="1494"/>
        <w:gridCol w:w="985"/>
        <w:gridCol w:w="805"/>
        <w:gridCol w:w="746"/>
        <w:gridCol w:w="745"/>
        <w:gridCol w:w="796"/>
        <w:gridCol w:w="697"/>
        <w:gridCol w:w="895"/>
        <w:gridCol w:w="701"/>
        <w:gridCol w:w="792"/>
        <w:gridCol w:w="748"/>
        <w:gridCol w:w="802"/>
      </w:tblGrid>
      <w:tr w:rsidR="0064654E" w:rsidRPr="0064654E" w14:paraId="231F8854" w14:textId="77777777" w:rsidTr="0064654E">
        <w:trPr>
          <w:trHeight w:val="290"/>
        </w:trPr>
        <w:tc>
          <w:tcPr>
            <w:tcW w:w="1418" w:type="dxa"/>
            <w:tcBorders>
              <w:top w:val="nil"/>
              <w:left w:val="nil"/>
              <w:bottom w:val="nil"/>
              <w:right w:val="nil"/>
            </w:tcBorders>
            <w:shd w:val="clear" w:color="000000" w:fill="FFFFFF"/>
            <w:noWrap/>
            <w:vAlign w:val="bottom"/>
            <w:hideMark/>
          </w:tcPr>
          <w:p w14:paraId="4E57BE68" w14:textId="77777777" w:rsidR="0064654E" w:rsidRPr="0064654E" w:rsidRDefault="0064654E" w:rsidP="0064654E">
            <w:pPr>
              <w:spacing w:after="0" w:line="240" w:lineRule="auto"/>
              <w:ind w:right="0"/>
              <w:jc w:val="left"/>
              <w:rPr>
                <w:rFonts w:eastAsia="宋体" w:cs="Times New Roman"/>
                <w:color w:val="000000"/>
                <w:sz w:val="18"/>
                <w:szCs w:val="18"/>
              </w:rPr>
            </w:pPr>
            <w:r w:rsidRPr="0064654E">
              <w:rPr>
                <w:rFonts w:eastAsia="宋体" w:cs="Times New Roman"/>
                <w:color w:val="000000"/>
                <w:sz w:val="18"/>
                <w:szCs w:val="18"/>
              </w:rPr>
              <w:t xml:space="preserve">　</w:t>
            </w:r>
          </w:p>
        </w:tc>
        <w:tc>
          <w:tcPr>
            <w:tcW w:w="2410" w:type="dxa"/>
            <w:gridSpan w:val="3"/>
            <w:tcBorders>
              <w:top w:val="nil"/>
              <w:left w:val="single" w:sz="4" w:space="0" w:color="auto"/>
              <w:bottom w:val="nil"/>
              <w:right w:val="nil"/>
            </w:tcBorders>
            <w:shd w:val="clear" w:color="000000" w:fill="FFFFFF"/>
            <w:noWrap/>
            <w:vAlign w:val="bottom"/>
            <w:hideMark/>
          </w:tcPr>
          <w:p w14:paraId="17308775"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过去</w:t>
            </w:r>
            <w:r w:rsidRPr="0064654E">
              <w:rPr>
                <w:rFonts w:eastAsia="宋体" w:cs="Times New Roman"/>
                <w:b/>
                <w:bCs/>
                <w:color w:val="000000"/>
                <w:sz w:val="18"/>
                <w:szCs w:val="18"/>
              </w:rPr>
              <w:t>7</w:t>
            </w:r>
            <w:r w:rsidRPr="0064654E">
              <w:rPr>
                <w:rFonts w:ascii="楷体" w:hAnsi="楷体" w:cs="Times New Roman" w:hint="eastAsia"/>
                <w:b/>
                <w:bCs/>
                <w:color w:val="000000"/>
                <w:sz w:val="18"/>
                <w:szCs w:val="18"/>
              </w:rPr>
              <w:t>日</w:t>
            </w:r>
          </w:p>
        </w:tc>
        <w:tc>
          <w:tcPr>
            <w:tcW w:w="2126" w:type="dxa"/>
            <w:gridSpan w:val="3"/>
            <w:tcBorders>
              <w:top w:val="nil"/>
              <w:left w:val="single" w:sz="4" w:space="0" w:color="auto"/>
              <w:bottom w:val="nil"/>
              <w:right w:val="nil"/>
            </w:tcBorders>
            <w:shd w:val="clear" w:color="000000" w:fill="FFFFFF"/>
            <w:noWrap/>
            <w:vAlign w:val="bottom"/>
            <w:hideMark/>
          </w:tcPr>
          <w:p w14:paraId="3BC947A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过去</w:t>
            </w:r>
            <w:r w:rsidRPr="0064654E">
              <w:rPr>
                <w:rFonts w:eastAsia="宋体" w:cs="Times New Roman"/>
                <w:b/>
                <w:bCs/>
                <w:color w:val="000000"/>
                <w:sz w:val="18"/>
                <w:szCs w:val="18"/>
              </w:rPr>
              <w:t>30</w:t>
            </w:r>
            <w:r w:rsidRPr="0064654E">
              <w:rPr>
                <w:rFonts w:ascii="楷体" w:hAnsi="楷体" w:cs="Times New Roman" w:hint="eastAsia"/>
                <w:b/>
                <w:bCs/>
                <w:color w:val="000000"/>
                <w:sz w:val="18"/>
                <w:szCs w:val="18"/>
              </w:rPr>
              <w:t>日</w:t>
            </w:r>
          </w:p>
        </w:tc>
        <w:tc>
          <w:tcPr>
            <w:tcW w:w="2268" w:type="dxa"/>
            <w:gridSpan w:val="3"/>
            <w:tcBorders>
              <w:top w:val="nil"/>
              <w:left w:val="single" w:sz="4" w:space="0" w:color="auto"/>
              <w:bottom w:val="nil"/>
              <w:right w:val="nil"/>
            </w:tcBorders>
            <w:shd w:val="clear" w:color="000000" w:fill="FFFFFF"/>
            <w:noWrap/>
            <w:vAlign w:val="bottom"/>
            <w:hideMark/>
          </w:tcPr>
          <w:p w14:paraId="33CEBBB1" w14:textId="77777777" w:rsidR="0064654E" w:rsidRPr="0064654E" w:rsidRDefault="0064654E" w:rsidP="0064654E">
            <w:pPr>
              <w:spacing w:after="0" w:line="240" w:lineRule="auto"/>
              <w:ind w:right="0"/>
              <w:jc w:val="center"/>
              <w:rPr>
                <w:rFonts w:ascii="楷体" w:hAnsi="楷体" w:cs="宋体"/>
                <w:b/>
                <w:bCs/>
                <w:color w:val="000000"/>
                <w:sz w:val="18"/>
                <w:szCs w:val="18"/>
              </w:rPr>
            </w:pPr>
            <w:r w:rsidRPr="0064654E">
              <w:rPr>
                <w:rFonts w:ascii="楷体" w:hAnsi="楷体" w:cs="宋体" w:hint="eastAsia"/>
                <w:b/>
                <w:bCs/>
                <w:color w:val="000000"/>
                <w:sz w:val="18"/>
                <w:szCs w:val="18"/>
              </w:rPr>
              <w:t>本月至今</w:t>
            </w:r>
          </w:p>
        </w:tc>
        <w:tc>
          <w:tcPr>
            <w:tcW w:w="1467" w:type="dxa"/>
            <w:gridSpan w:val="2"/>
            <w:tcBorders>
              <w:top w:val="nil"/>
              <w:left w:val="single" w:sz="4" w:space="0" w:color="auto"/>
              <w:bottom w:val="nil"/>
              <w:right w:val="nil"/>
            </w:tcBorders>
            <w:shd w:val="clear" w:color="000000" w:fill="FFFFFF"/>
            <w:noWrap/>
            <w:vAlign w:val="bottom"/>
            <w:hideMark/>
          </w:tcPr>
          <w:p w14:paraId="1D034FF7" w14:textId="77777777" w:rsidR="0064654E" w:rsidRPr="0064654E" w:rsidRDefault="0064654E" w:rsidP="0064654E">
            <w:pPr>
              <w:spacing w:after="0" w:line="240" w:lineRule="auto"/>
              <w:ind w:right="0"/>
              <w:jc w:val="center"/>
              <w:rPr>
                <w:rFonts w:ascii="楷体" w:hAnsi="楷体" w:cs="宋体"/>
                <w:b/>
                <w:bCs/>
                <w:color w:val="000000"/>
                <w:sz w:val="18"/>
                <w:szCs w:val="18"/>
              </w:rPr>
            </w:pPr>
            <w:r w:rsidRPr="0064654E">
              <w:rPr>
                <w:rFonts w:ascii="楷体" w:hAnsi="楷体" w:cs="宋体" w:hint="eastAsia"/>
                <w:b/>
                <w:bCs/>
                <w:color w:val="000000"/>
                <w:sz w:val="18"/>
                <w:szCs w:val="18"/>
              </w:rPr>
              <w:t>本年至今</w:t>
            </w:r>
          </w:p>
        </w:tc>
      </w:tr>
      <w:tr w:rsidR="0064654E" w:rsidRPr="0064654E" w14:paraId="46B62AA3" w14:textId="77777777" w:rsidTr="0064654E">
        <w:trPr>
          <w:trHeight w:val="290"/>
        </w:trPr>
        <w:tc>
          <w:tcPr>
            <w:tcW w:w="1418" w:type="dxa"/>
            <w:tcBorders>
              <w:top w:val="nil"/>
              <w:left w:val="nil"/>
              <w:bottom w:val="single" w:sz="4" w:space="0" w:color="C00000"/>
              <w:right w:val="nil"/>
            </w:tcBorders>
            <w:shd w:val="clear" w:color="000000" w:fill="FFFFFF"/>
            <w:noWrap/>
            <w:vAlign w:val="bottom"/>
            <w:hideMark/>
          </w:tcPr>
          <w:p w14:paraId="0BBDD0F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城市</w:t>
            </w:r>
          </w:p>
        </w:tc>
        <w:tc>
          <w:tcPr>
            <w:tcW w:w="936" w:type="dxa"/>
            <w:tcBorders>
              <w:top w:val="nil"/>
              <w:left w:val="single" w:sz="4" w:space="0" w:color="auto"/>
              <w:bottom w:val="single" w:sz="4" w:space="0" w:color="C00000"/>
              <w:right w:val="nil"/>
            </w:tcBorders>
            <w:shd w:val="clear" w:color="000000" w:fill="FFFFFF"/>
            <w:noWrap/>
            <w:vAlign w:val="bottom"/>
            <w:hideMark/>
          </w:tcPr>
          <w:p w14:paraId="0C05598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平方米</w:t>
            </w:r>
          </w:p>
        </w:tc>
        <w:tc>
          <w:tcPr>
            <w:tcW w:w="765" w:type="dxa"/>
            <w:tcBorders>
              <w:top w:val="nil"/>
              <w:left w:val="nil"/>
              <w:bottom w:val="single" w:sz="4" w:space="0" w:color="C00000"/>
              <w:right w:val="nil"/>
            </w:tcBorders>
            <w:shd w:val="clear" w:color="000000" w:fill="FFFFFF"/>
            <w:noWrap/>
            <w:vAlign w:val="bottom"/>
            <w:hideMark/>
          </w:tcPr>
          <w:p w14:paraId="4448A82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环比</w:t>
            </w:r>
          </w:p>
        </w:tc>
        <w:tc>
          <w:tcPr>
            <w:tcW w:w="709" w:type="dxa"/>
            <w:tcBorders>
              <w:top w:val="nil"/>
              <w:left w:val="nil"/>
              <w:bottom w:val="single" w:sz="4" w:space="0" w:color="C00000"/>
              <w:right w:val="nil"/>
            </w:tcBorders>
            <w:shd w:val="clear" w:color="000000" w:fill="FFFFFF"/>
            <w:noWrap/>
            <w:vAlign w:val="bottom"/>
            <w:hideMark/>
          </w:tcPr>
          <w:p w14:paraId="3267894E"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同比</w:t>
            </w:r>
          </w:p>
        </w:tc>
        <w:tc>
          <w:tcPr>
            <w:tcW w:w="708" w:type="dxa"/>
            <w:tcBorders>
              <w:top w:val="nil"/>
              <w:left w:val="single" w:sz="4" w:space="0" w:color="auto"/>
              <w:bottom w:val="single" w:sz="4" w:space="0" w:color="C00000"/>
              <w:right w:val="nil"/>
            </w:tcBorders>
            <w:shd w:val="clear" w:color="000000" w:fill="FFFFFF"/>
            <w:noWrap/>
            <w:vAlign w:val="bottom"/>
            <w:hideMark/>
          </w:tcPr>
          <w:p w14:paraId="490B4476" w14:textId="23170914" w:rsidR="0064654E" w:rsidRPr="0064654E" w:rsidRDefault="0064654E" w:rsidP="0064654E">
            <w:pPr>
              <w:spacing w:after="0" w:line="240" w:lineRule="auto"/>
              <w:ind w:right="0"/>
              <w:jc w:val="center"/>
              <w:rPr>
                <w:rFonts w:eastAsia="宋体" w:cs="Times New Roman"/>
                <w:b/>
                <w:bCs/>
                <w:color w:val="000000"/>
                <w:sz w:val="18"/>
                <w:szCs w:val="18"/>
              </w:rPr>
            </w:pPr>
            <w:proofErr w:type="gramStart"/>
            <w:r w:rsidRPr="0064654E">
              <w:rPr>
                <w:rFonts w:ascii="楷体" w:hAnsi="楷体" w:cs="Times New Roman" w:hint="eastAsia"/>
                <w:b/>
                <w:bCs/>
                <w:color w:val="000000"/>
                <w:sz w:val="18"/>
                <w:szCs w:val="18"/>
              </w:rPr>
              <w:t>千平</w:t>
            </w:r>
            <w:proofErr w:type="gramEnd"/>
          </w:p>
        </w:tc>
        <w:tc>
          <w:tcPr>
            <w:tcW w:w="756" w:type="dxa"/>
            <w:tcBorders>
              <w:top w:val="nil"/>
              <w:left w:val="nil"/>
              <w:bottom w:val="single" w:sz="4" w:space="0" w:color="C00000"/>
              <w:right w:val="nil"/>
            </w:tcBorders>
            <w:shd w:val="clear" w:color="000000" w:fill="FFFFFF"/>
            <w:noWrap/>
            <w:vAlign w:val="bottom"/>
            <w:hideMark/>
          </w:tcPr>
          <w:p w14:paraId="504E358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环比</w:t>
            </w:r>
          </w:p>
        </w:tc>
        <w:tc>
          <w:tcPr>
            <w:tcW w:w="662" w:type="dxa"/>
            <w:tcBorders>
              <w:top w:val="nil"/>
              <w:left w:val="nil"/>
              <w:bottom w:val="single" w:sz="4" w:space="0" w:color="C00000"/>
              <w:right w:val="nil"/>
            </w:tcBorders>
            <w:shd w:val="clear" w:color="000000" w:fill="FFFFFF"/>
            <w:noWrap/>
            <w:vAlign w:val="bottom"/>
            <w:hideMark/>
          </w:tcPr>
          <w:p w14:paraId="6367C9D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同比</w:t>
            </w:r>
          </w:p>
        </w:tc>
        <w:tc>
          <w:tcPr>
            <w:tcW w:w="850" w:type="dxa"/>
            <w:tcBorders>
              <w:top w:val="nil"/>
              <w:left w:val="single" w:sz="4" w:space="0" w:color="auto"/>
              <w:bottom w:val="single" w:sz="4" w:space="0" w:color="C00000"/>
              <w:right w:val="nil"/>
            </w:tcBorders>
            <w:shd w:val="clear" w:color="000000" w:fill="FFFFFF"/>
            <w:noWrap/>
            <w:vAlign w:val="bottom"/>
            <w:hideMark/>
          </w:tcPr>
          <w:p w14:paraId="1FB7227C" w14:textId="53960D28" w:rsidR="0064654E" w:rsidRPr="0064654E" w:rsidRDefault="0064654E" w:rsidP="0064654E">
            <w:pPr>
              <w:spacing w:after="0" w:line="240" w:lineRule="auto"/>
              <w:ind w:right="0"/>
              <w:jc w:val="center"/>
              <w:rPr>
                <w:rFonts w:eastAsia="宋体" w:cs="Times New Roman"/>
                <w:b/>
                <w:bCs/>
                <w:color w:val="000000"/>
                <w:sz w:val="18"/>
                <w:szCs w:val="18"/>
              </w:rPr>
            </w:pPr>
            <w:proofErr w:type="gramStart"/>
            <w:r w:rsidRPr="0064654E">
              <w:rPr>
                <w:rFonts w:ascii="楷体" w:hAnsi="楷体" w:cs="Times New Roman" w:hint="eastAsia"/>
                <w:b/>
                <w:bCs/>
                <w:color w:val="000000"/>
                <w:sz w:val="18"/>
                <w:szCs w:val="18"/>
              </w:rPr>
              <w:t>千平</w:t>
            </w:r>
            <w:proofErr w:type="gramEnd"/>
          </w:p>
        </w:tc>
        <w:tc>
          <w:tcPr>
            <w:tcW w:w="666" w:type="dxa"/>
            <w:tcBorders>
              <w:top w:val="nil"/>
              <w:left w:val="nil"/>
              <w:bottom w:val="single" w:sz="4" w:space="0" w:color="C00000"/>
              <w:right w:val="nil"/>
            </w:tcBorders>
            <w:shd w:val="clear" w:color="000000" w:fill="FFFFFF"/>
            <w:noWrap/>
            <w:vAlign w:val="bottom"/>
            <w:hideMark/>
          </w:tcPr>
          <w:p w14:paraId="4FB2BFAB"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环比</w:t>
            </w:r>
          </w:p>
        </w:tc>
        <w:tc>
          <w:tcPr>
            <w:tcW w:w="752" w:type="dxa"/>
            <w:tcBorders>
              <w:top w:val="nil"/>
              <w:left w:val="nil"/>
              <w:bottom w:val="single" w:sz="4" w:space="0" w:color="C00000"/>
              <w:right w:val="nil"/>
            </w:tcBorders>
            <w:shd w:val="clear" w:color="000000" w:fill="FFFFFF"/>
            <w:noWrap/>
            <w:vAlign w:val="bottom"/>
            <w:hideMark/>
          </w:tcPr>
          <w:p w14:paraId="176FEE0C"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同比</w:t>
            </w:r>
          </w:p>
        </w:tc>
        <w:tc>
          <w:tcPr>
            <w:tcW w:w="709" w:type="dxa"/>
            <w:tcBorders>
              <w:top w:val="nil"/>
              <w:left w:val="single" w:sz="4" w:space="0" w:color="auto"/>
              <w:bottom w:val="single" w:sz="4" w:space="0" w:color="C00000"/>
              <w:right w:val="nil"/>
            </w:tcBorders>
            <w:shd w:val="clear" w:color="000000" w:fill="FFFFFF"/>
            <w:noWrap/>
            <w:vAlign w:val="bottom"/>
            <w:hideMark/>
          </w:tcPr>
          <w:p w14:paraId="3C0BFD8E" w14:textId="368ECED2" w:rsidR="0064654E" w:rsidRPr="0064654E" w:rsidRDefault="0064654E" w:rsidP="0064654E">
            <w:pPr>
              <w:spacing w:after="0" w:line="240" w:lineRule="auto"/>
              <w:ind w:right="0"/>
              <w:jc w:val="center"/>
              <w:rPr>
                <w:rFonts w:eastAsia="宋体" w:cs="Times New Roman"/>
                <w:b/>
                <w:bCs/>
                <w:color w:val="000000"/>
                <w:sz w:val="18"/>
                <w:szCs w:val="18"/>
              </w:rPr>
            </w:pPr>
            <w:proofErr w:type="gramStart"/>
            <w:r w:rsidRPr="0064654E">
              <w:rPr>
                <w:rFonts w:ascii="楷体" w:hAnsi="楷体" w:cs="Times New Roman" w:hint="eastAsia"/>
                <w:b/>
                <w:bCs/>
                <w:color w:val="000000"/>
                <w:sz w:val="18"/>
                <w:szCs w:val="18"/>
              </w:rPr>
              <w:t>千平</w:t>
            </w:r>
            <w:proofErr w:type="gramEnd"/>
          </w:p>
        </w:tc>
        <w:tc>
          <w:tcPr>
            <w:tcW w:w="762" w:type="dxa"/>
            <w:tcBorders>
              <w:top w:val="nil"/>
              <w:left w:val="nil"/>
              <w:bottom w:val="single" w:sz="4" w:space="0" w:color="C00000"/>
              <w:right w:val="nil"/>
            </w:tcBorders>
            <w:shd w:val="clear" w:color="000000" w:fill="FFFFFF"/>
            <w:noWrap/>
            <w:vAlign w:val="bottom"/>
            <w:hideMark/>
          </w:tcPr>
          <w:p w14:paraId="330AF71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同比</w:t>
            </w:r>
          </w:p>
        </w:tc>
      </w:tr>
      <w:tr w:rsidR="0064654E" w:rsidRPr="0064654E" w14:paraId="4989CB3E" w14:textId="77777777" w:rsidTr="0064654E">
        <w:trPr>
          <w:trHeight w:val="290"/>
        </w:trPr>
        <w:tc>
          <w:tcPr>
            <w:tcW w:w="1418" w:type="dxa"/>
            <w:tcBorders>
              <w:top w:val="nil"/>
              <w:left w:val="nil"/>
              <w:bottom w:val="nil"/>
              <w:right w:val="nil"/>
            </w:tcBorders>
            <w:shd w:val="clear" w:color="auto" w:fill="auto"/>
            <w:noWrap/>
            <w:vAlign w:val="bottom"/>
            <w:hideMark/>
          </w:tcPr>
          <w:p w14:paraId="558E7DA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北京</w:t>
            </w:r>
          </w:p>
        </w:tc>
        <w:tc>
          <w:tcPr>
            <w:tcW w:w="936" w:type="dxa"/>
            <w:tcBorders>
              <w:top w:val="nil"/>
              <w:left w:val="single" w:sz="4" w:space="0" w:color="auto"/>
              <w:bottom w:val="nil"/>
              <w:right w:val="nil"/>
            </w:tcBorders>
            <w:shd w:val="clear" w:color="auto" w:fill="auto"/>
            <w:noWrap/>
            <w:vAlign w:val="bottom"/>
            <w:hideMark/>
          </w:tcPr>
          <w:p w14:paraId="5677C36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203,265</w:t>
            </w:r>
          </w:p>
        </w:tc>
        <w:tc>
          <w:tcPr>
            <w:tcW w:w="765" w:type="dxa"/>
            <w:tcBorders>
              <w:top w:val="nil"/>
              <w:left w:val="nil"/>
              <w:bottom w:val="nil"/>
              <w:right w:val="nil"/>
            </w:tcBorders>
            <w:shd w:val="clear" w:color="auto" w:fill="auto"/>
            <w:noWrap/>
            <w:vAlign w:val="bottom"/>
            <w:hideMark/>
          </w:tcPr>
          <w:p w14:paraId="4B909F7C"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8%</w:t>
            </w:r>
          </w:p>
        </w:tc>
        <w:tc>
          <w:tcPr>
            <w:tcW w:w="709" w:type="dxa"/>
            <w:tcBorders>
              <w:top w:val="nil"/>
              <w:left w:val="nil"/>
              <w:bottom w:val="nil"/>
              <w:right w:val="nil"/>
            </w:tcBorders>
            <w:shd w:val="clear" w:color="auto" w:fill="auto"/>
            <w:noWrap/>
            <w:vAlign w:val="bottom"/>
            <w:hideMark/>
          </w:tcPr>
          <w:p w14:paraId="06433A0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-38%</w:t>
            </w:r>
          </w:p>
        </w:tc>
        <w:tc>
          <w:tcPr>
            <w:tcW w:w="708" w:type="dxa"/>
            <w:tcBorders>
              <w:top w:val="nil"/>
              <w:left w:val="single" w:sz="4" w:space="0" w:color="auto"/>
              <w:bottom w:val="nil"/>
              <w:right w:val="nil"/>
            </w:tcBorders>
            <w:shd w:val="clear" w:color="auto" w:fill="auto"/>
            <w:noWrap/>
            <w:vAlign w:val="bottom"/>
            <w:hideMark/>
          </w:tcPr>
          <w:p w14:paraId="5C16F50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750</w:t>
            </w:r>
          </w:p>
        </w:tc>
        <w:tc>
          <w:tcPr>
            <w:tcW w:w="756" w:type="dxa"/>
            <w:tcBorders>
              <w:top w:val="nil"/>
              <w:left w:val="nil"/>
              <w:bottom w:val="nil"/>
              <w:right w:val="nil"/>
            </w:tcBorders>
            <w:shd w:val="clear" w:color="auto" w:fill="auto"/>
            <w:noWrap/>
            <w:vAlign w:val="bottom"/>
            <w:hideMark/>
          </w:tcPr>
          <w:p w14:paraId="77C3652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94%</w:t>
            </w:r>
          </w:p>
        </w:tc>
        <w:tc>
          <w:tcPr>
            <w:tcW w:w="662" w:type="dxa"/>
            <w:tcBorders>
              <w:top w:val="nil"/>
              <w:left w:val="nil"/>
              <w:bottom w:val="nil"/>
              <w:right w:val="nil"/>
            </w:tcBorders>
            <w:shd w:val="clear" w:color="auto" w:fill="auto"/>
            <w:noWrap/>
            <w:vAlign w:val="bottom"/>
            <w:hideMark/>
          </w:tcPr>
          <w:p w14:paraId="1E0DB323"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-47%</w:t>
            </w:r>
          </w:p>
        </w:tc>
        <w:tc>
          <w:tcPr>
            <w:tcW w:w="850" w:type="dxa"/>
            <w:tcBorders>
              <w:top w:val="nil"/>
              <w:left w:val="single" w:sz="4" w:space="0" w:color="auto"/>
              <w:bottom w:val="nil"/>
              <w:right w:val="nil"/>
            </w:tcBorders>
            <w:shd w:val="clear" w:color="auto" w:fill="auto"/>
            <w:noWrap/>
            <w:vAlign w:val="bottom"/>
            <w:hideMark/>
          </w:tcPr>
          <w:p w14:paraId="0E9E115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109</w:t>
            </w:r>
          </w:p>
        </w:tc>
        <w:tc>
          <w:tcPr>
            <w:tcW w:w="666" w:type="dxa"/>
            <w:tcBorders>
              <w:top w:val="nil"/>
              <w:left w:val="nil"/>
              <w:bottom w:val="nil"/>
              <w:right w:val="nil"/>
            </w:tcBorders>
            <w:shd w:val="clear" w:color="auto" w:fill="auto"/>
            <w:noWrap/>
            <w:vAlign w:val="bottom"/>
            <w:hideMark/>
          </w:tcPr>
          <w:p w14:paraId="610B34D4"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70%</w:t>
            </w:r>
          </w:p>
        </w:tc>
        <w:tc>
          <w:tcPr>
            <w:tcW w:w="752" w:type="dxa"/>
            <w:tcBorders>
              <w:top w:val="nil"/>
              <w:left w:val="nil"/>
              <w:bottom w:val="nil"/>
              <w:right w:val="nil"/>
            </w:tcBorders>
            <w:shd w:val="clear" w:color="auto" w:fill="auto"/>
            <w:noWrap/>
            <w:vAlign w:val="bottom"/>
            <w:hideMark/>
          </w:tcPr>
          <w:p w14:paraId="05F6922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-31%</w:t>
            </w:r>
          </w:p>
        </w:tc>
        <w:tc>
          <w:tcPr>
            <w:tcW w:w="709" w:type="dxa"/>
            <w:tcBorders>
              <w:top w:val="nil"/>
              <w:left w:val="single" w:sz="4" w:space="0" w:color="auto"/>
              <w:bottom w:val="nil"/>
              <w:right w:val="nil"/>
            </w:tcBorders>
            <w:shd w:val="clear" w:color="auto" w:fill="auto"/>
            <w:noWrap/>
            <w:vAlign w:val="bottom"/>
            <w:hideMark/>
          </w:tcPr>
          <w:p w14:paraId="5F5142D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1,906</w:t>
            </w:r>
          </w:p>
        </w:tc>
        <w:tc>
          <w:tcPr>
            <w:tcW w:w="762" w:type="dxa"/>
            <w:tcBorders>
              <w:top w:val="nil"/>
              <w:left w:val="nil"/>
              <w:bottom w:val="nil"/>
              <w:right w:val="nil"/>
            </w:tcBorders>
            <w:shd w:val="clear" w:color="auto" w:fill="auto"/>
            <w:noWrap/>
            <w:vAlign w:val="bottom"/>
            <w:hideMark/>
          </w:tcPr>
          <w:p w14:paraId="4B7E5B8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-33%</w:t>
            </w:r>
          </w:p>
        </w:tc>
      </w:tr>
      <w:tr w:rsidR="0064654E" w:rsidRPr="0064654E" w14:paraId="28E3D040" w14:textId="77777777" w:rsidTr="0064654E">
        <w:trPr>
          <w:trHeight w:val="290"/>
        </w:trPr>
        <w:tc>
          <w:tcPr>
            <w:tcW w:w="1418" w:type="dxa"/>
            <w:tcBorders>
              <w:top w:val="nil"/>
              <w:left w:val="nil"/>
              <w:bottom w:val="nil"/>
              <w:right w:val="nil"/>
            </w:tcBorders>
            <w:shd w:val="clear" w:color="auto" w:fill="auto"/>
            <w:noWrap/>
            <w:vAlign w:val="bottom"/>
            <w:hideMark/>
          </w:tcPr>
          <w:p w14:paraId="4646DFC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深圳</w:t>
            </w:r>
          </w:p>
        </w:tc>
        <w:tc>
          <w:tcPr>
            <w:tcW w:w="936" w:type="dxa"/>
            <w:tcBorders>
              <w:top w:val="nil"/>
              <w:left w:val="single" w:sz="4" w:space="0" w:color="auto"/>
              <w:bottom w:val="nil"/>
              <w:right w:val="nil"/>
            </w:tcBorders>
            <w:shd w:val="clear" w:color="auto" w:fill="auto"/>
            <w:noWrap/>
            <w:vAlign w:val="bottom"/>
            <w:hideMark/>
          </w:tcPr>
          <w:p w14:paraId="28033EA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130,802</w:t>
            </w:r>
          </w:p>
        </w:tc>
        <w:tc>
          <w:tcPr>
            <w:tcW w:w="765" w:type="dxa"/>
            <w:tcBorders>
              <w:top w:val="nil"/>
              <w:left w:val="nil"/>
              <w:bottom w:val="nil"/>
              <w:right w:val="nil"/>
            </w:tcBorders>
            <w:shd w:val="clear" w:color="auto" w:fill="auto"/>
            <w:noWrap/>
            <w:vAlign w:val="bottom"/>
            <w:hideMark/>
          </w:tcPr>
          <w:p w14:paraId="1F87DF2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-22%</w:t>
            </w:r>
          </w:p>
        </w:tc>
        <w:tc>
          <w:tcPr>
            <w:tcW w:w="709" w:type="dxa"/>
            <w:tcBorders>
              <w:top w:val="nil"/>
              <w:left w:val="nil"/>
              <w:bottom w:val="nil"/>
              <w:right w:val="nil"/>
            </w:tcBorders>
            <w:shd w:val="clear" w:color="auto" w:fill="auto"/>
            <w:noWrap/>
            <w:vAlign w:val="bottom"/>
            <w:hideMark/>
          </w:tcPr>
          <w:p w14:paraId="3A884AAF"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15%</w:t>
            </w:r>
          </w:p>
        </w:tc>
        <w:tc>
          <w:tcPr>
            <w:tcW w:w="708" w:type="dxa"/>
            <w:tcBorders>
              <w:top w:val="nil"/>
              <w:left w:val="single" w:sz="4" w:space="0" w:color="auto"/>
              <w:bottom w:val="nil"/>
              <w:right w:val="nil"/>
            </w:tcBorders>
            <w:shd w:val="clear" w:color="auto" w:fill="auto"/>
            <w:noWrap/>
            <w:vAlign w:val="bottom"/>
            <w:hideMark/>
          </w:tcPr>
          <w:p w14:paraId="19A5F6E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689</w:t>
            </w:r>
          </w:p>
        </w:tc>
        <w:tc>
          <w:tcPr>
            <w:tcW w:w="756" w:type="dxa"/>
            <w:tcBorders>
              <w:top w:val="nil"/>
              <w:left w:val="nil"/>
              <w:bottom w:val="nil"/>
              <w:right w:val="nil"/>
            </w:tcBorders>
            <w:shd w:val="clear" w:color="auto" w:fill="auto"/>
            <w:noWrap/>
            <w:vAlign w:val="bottom"/>
            <w:hideMark/>
          </w:tcPr>
          <w:p w14:paraId="0EFE3299"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225%</w:t>
            </w:r>
          </w:p>
        </w:tc>
        <w:tc>
          <w:tcPr>
            <w:tcW w:w="662" w:type="dxa"/>
            <w:tcBorders>
              <w:top w:val="nil"/>
              <w:left w:val="nil"/>
              <w:bottom w:val="nil"/>
              <w:right w:val="nil"/>
            </w:tcBorders>
            <w:shd w:val="clear" w:color="auto" w:fill="auto"/>
            <w:noWrap/>
            <w:vAlign w:val="bottom"/>
            <w:hideMark/>
          </w:tcPr>
          <w:p w14:paraId="48E7C4EA"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66%</w:t>
            </w:r>
          </w:p>
        </w:tc>
        <w:tc>
          <w:tcPr>
            <w:tcW w:w="850" w:type="dxa"/>
            <w:tcBorders>
              <w:top w:val="nil"/>
              <w:left w:val="single" w:sz="4" w:space="0" w:color="auto"/>
              <w:bottom w:val="nil"/>
              <w:right w:val="nil"/>
            </w:tcBorders>
            <w:shd w:val="clear" w:color="auto" w:fill="auto"/>
            <w:noWrap/>
            <w:vAlign w:val="bottom"/>
            <w:hideMark/>
          </w:tcPr>
          <w:p w14:paraId="7E7A1AB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79</w:t>
            </w:r>
          </w:p>
        </w:tc>
        <w:tc>
          <w:tcPr>
            <w:tcW w:w="666" w:type="dxa"/>
            <w:tcBorders>
              <w:top w:val="nil"/>
              <w:left w:val="nil"/>
              <w:bottom w:val="nil"/>
              <w:right w:val="nil"/>
            </w:tcBorders>
            <w:shd w:val="clear" w:color="auto" w:fill="auto"/>
            <w:noWrap/>
            <w:vAlign w:val="bottom"/>
            <w:hideMark/>
          </w:tcPr>
          <w:p w14:paraId="2D60239E"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13%</w:t>
            </w:r>
          </w:p>
        </w:tc>
        <w:tc>
          <w:tcPr>
            <w:tcW w:w="752" w:type="dxa"/>
            <w:tcBorders>
              <w:top w:val="nil"/>
              <w:left w:val="nil"/>
              <w:bottom w:val="nil"/>
              <w:right w:val="nil"/>
            </w:tcBorders>
            <w:shd w:val="clear" w:color="auto" w:fill="auto"/>
            <w:noWrap/>
            <w:vAlign w:val="bottom"/>
            <w:hideMark/>
          </w:tcPr>
          <w:p w14:paraId="5C433A57"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18%</w:t>
            </w:r>
          </w:p>
        </w:tc>
        <w:tc>
          <w:tcPr>
            <w:tcW w:w="709" w:type="dxa"/>
            <w:tcBorders>
              <w:top w:val="nil"/>
              <w:left w:val="single" w:sz="4" w:space="0" w:color="auto"/>
              <w:bottom w:val="nil"/>
              <w:right w:val="nil"/>
            </w:tcBorders>
            <w:shd w:val="clear" w:color="auto" w:fill="auto"/>
            <w:noWrap/>
            <w:vAlign w:val="bottom"/>
            <w:hideMark/>
          </w:tcPr>
          <w:p w14:paraId="1A22028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1,545</w:t>
            </w:r>
          </w:p>
        </w:tc>
        <w:tc>
          <w:tcPr>
            <w:tcW w:w="762" w:type="dxa"/>
            <w:tcBorders>
              <w:top w:val="nil"/>
              <w:left w:val="nil"/>
              <w:bottom w:val="nil"/>
              <w:right w:val="nil"/>
            </w:tcBorders>
            <w:shd w:val="clear" w:color="auto" w:fill="auto"/>
            <w:noWrap/>
            <w:vAlign w:val="bottom"/>
            <w:hideMark/>
          </w:tcPr>
          <w:p w14:paraId="25C8F175"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66%</w:t>
            </w:r>
          </w:p>
        </w:tc>
      </w:tr>
      <w:tr w:rsidR="0064654E" w:rsidRPr="0064654E" w14:paraId="4FA44E7E" w14:textId="77777777" w:rsidTr="0064654E">
        <w:trPr>
          <w:trHeight w:val="290"/>
        </w:trPr>
        <w:tc>
          <w:tcPr>
            <w:tcW w:w="1418" w:type="dxa"/>
            <w:tcBorders>
              <w:top w:val="nil"/>
              <w:left w:val="nil"/>
              <w:bottom w:val="nil"/>
              <w:right w:val="nil"/>
            </w:tcBorders>
            <w:shd w:val="clear" w:color="auto" w:fill="auto"/>
            <w:noWrap/>
            <w:vAlign w:val="bottom"/>
            <w:hideMark/>
          </w:tcPr>
          <w:p w14:paraId="46B8EA5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杭州</w:t>
            </w:r>
          </w:p>
        </w:tc>
        <w:tc>
          <w:tcPr>
            <w:tcW w:w="936" w:type="dxa"/>
            <w:tcBorders>
              <w:top w:val="nil"/>
              <w:left w:val="single" w:sz="4" w:space="0" w:color="auto"/>
              <w:bottom w:val="nil"/>
              <w:right w:val="nil"/>
            </w:tcBorders>
            <w:shd w:val="clear" w:color="auto" w:fill="auto"/>
            <w:noWrap/>
            <w:vAlign w:val="bottom"/>
            <w:hideMark/>
          </w:tcPr>
          <w:p w14:paraId="3F01C85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124,137</w:t>
            </w:r>
          </w:p>
        </w:tc>
        <w:tc>
          <w:tcPr>
            <w:tcW w:w="765" w:type="dxa"/>
            <w:tcBorders>
              <w:top w:val="nil"/>
              <w:left w:val="nil"/>
              <w:bottom w:val="nil"/>
              <w:right w:val="nil"/>
            </w:tcBorders>
            <w:shd w:val="clear" w:color="auto" w:fill="auto"/>
            <w:noWrap/>
            <w:vAlign w:val="bottom"/>
            <w:hideMark/>
          </w:tcPr>
          <w:p w14:paraId="426FA42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9%</w:t>
            </w:r>
          </w:p>
        </w:tc>
        <w:tc>
          <w:tcPr>
            <w:tcW w:w="709" w:type="dxa"/>
            <w:tcBorders>
              <w:top w:val="nil"/>
              <w:left w:val="nil"/>
              <w:bottom w:val="nil"/>
              <w:right w:val="nil"/>
            </w:tcBorders>
            <w:shd w:val="clear" w:color="auto" w:fill="auto"/>
            <w:noWrap/>
            <w:vAlign w:val="bottom"/>
            <w:hideMark/>
          </w:tcPr>
          <w:p w14:paraId="4FF9FB68"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33%</w:t>
            </w:r>
          </w:p>
        </w:tc>
        <w:tc>
          <w:tcPr>
            <w:tcW w:w="708" w:type="dxa"/>
            <w:tcBorders>
              <w:top w:val="nil"/>
              <w:left w:val="single" w:sz="4" w:space="0" w:color="auto"/>
              <w:bottom w:val="nil"/>
              <w:right w:val="nil"/>
            </w:tcBorders>
            <w:shd w:val="clear" w:color="auto" w:fill="auto"/>
            <w:noWrap/>
            <w:vAlign w:val="bottom"/>
            <w:hideMark/>
          </w:tcPr>
          <w:p w14:paraId="442EB34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379</w:t>
            </w:r>
          </w:p>
        </w:tc>
        <w:tc>
          <w:tcPr>
            <w:tcW w:w="756" w:type="dxa"/>
            <w:tcBorders>
              <w:top w:val="nil"/>
              <w:left w:val="nil"/>
              <w:bottom w:val="nil"/>
              <w:right w:val="nil"/>
            </w:tcBorders>
            <w:shd w:val="clear" w:color="auto" w:fill="auto"/>
            <w:noWrap/>
            <w:vAlign w:val="bottom"/>
            <w:hideMark/>
          </w:tcPr>
          <w:p w14:paraId="4EA167B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609%</w:t>
            </w:r>
          </w:p>
        </w:tc>
        <w:tc>
          <w:tcPr>
            <w:tcW w:w="662" w:type="dxa"/>
            <w:tcBorders>
              <w:top w:val="nil"/>
              <w:left w:val="nil"/>
              <w:bottom w:val="nil"/>
              <w:right w:val="nil"/>
            </w:tcBorders>
            <w:shd w:val="clear" w:color="auto" w:fill="auto"/>
            <w:noWrap/>
            <w:vAlign w:val="bottom"/>
            <w:hideMark/>
          </w:tcPr>
          <w:p w14:paraId="2115A48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-16%</w:t>
            </w:r>
          </w:p>
        </w:tc>
        <w:tc>
          <w:tcPr>
            <w:tcW w:w="850" w:type="dxa"/>
            <w:tcBorders>
              <w:top w:val="nil"/>
              <w:left w:val="single" w:sz="4" w:space="0" w:color="auto"/>
              <w:bottom w:val="nil"/>
              <w:right w:val="nil"/>
            </w:tcBorders>
            <w:shd w:val="clear" w:color="auto" w:fill="auto"/>
            <w:noWrap/>
            <w:vAlign w:val="bottom"/>
            <w:hideMark/>
          </w:tcPr>
          <w:p w14:paraId="565604A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54</w:t>
            </w:r>
          </w:p>
        </w:tc>
        <w:tc>
          <w:tcPr>
            <w:tcW w:w="666" w:type="dxa"/>
            <w:tcBorders>
              <w:top w:val="nil"/>
              <w:left w:val="nil"/>
              <w:bottom w:val="nil"/>
              <w:right w:val="nil"/>
            </w:tcBorders>
            <w:shd w:val="clear" w:color="auto" w:fill="auto"/>
            <w:noWrap/>
            <w:vAlign w:val="bottom"/>
            <w:hideMark/>
          </w:tcPr>
          <w:p w14:paraId="3CFDF95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90%</w:t>
            </w:r>
          </w:p>
        </w:tc>
        <w:tc>
          <w:tcPr>
            <w:tcW w:w="752" w:type="dxa"/>
            <w:tcBorders>
              <w:top w:val="nil"/>
              <w:left w:val="nil"/>
              <w:bottom w:val="nil"/>
              <w:right w:val="nil"/>
            </w:tcBorders>
            <w:shd w:val="clear" w:color="auto" w:fill="auto"/>
            <w:noWrap/>
            <w:vAlign w:val="bottom"/>
            <w:hideMark/>
          </w:tcPr>
          <w:p w14:paraId="7653B461"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23%</w:t>
            </w:r>
          </w:p>
        </w:tc>
        <w:tc>
          <w:tcPr>
            <w:tcW w:w="709" w:type="dxa"/>
            <w:tcBorders>
              <w:top w:val="nil"/>
              <w:left w:val="single" w:sz="4" w:space="0" w:color="auto"/>
              <w:bottom w:val="nil"/>
              <w:right w:val="nil"/>
            </w:tcBorders>
            <w:shd w:val="clear" w:color="auto" w:fill="auto"/>
            <w:noWrap/>
            <w:vAlign w:val="bottom"/>
            <w:hideMark/>
          </w:tcPr>
          <w:p w14:paraId="043BE06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697</w:t>
            </w:r>
          </w:p>
        </w:tc>
        <w:tc>
          <w:tcPr>
            <w:tcW w:w="762" w:type="dxa"/>
            <w:tcBorders>
              <w:top w:val="nil"/>
              <w:left w:val="nil"/>
              <w:bottom w:val="nil"/>
              <w:right w:val="nil"/>
            </w:tcBorders>
            <w:shd w:val="clear" w:color="auto" w:fill="auto"/>
            <w:noWrap/>
            <w:vAlign w:val="bottom"/>
            <w:hideMark/>
          </w:tcPr>
          <w:p w14:paraId="081CB04E"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-27%</w:t>
            </w:r>
          </w:p>
        </w:tc>
      </w:tr>
      <w:tr w:rsidR="0064654E" w:rsidRPr="0064654E" w14:paraId="1325552B" w14:textId="77777777" w:rsidTr="0064654E">
        <w:trPr>
          <w:trHeight w:val="290"/>
        </w:trPr>
        <w:tc>
          <w:tcPr>
            <w:tcW w:w="1418" w:type="dxa"/>
            <w:tcBorders>
              <w:top w:val="nil"/>
              <w:left w:val="nil"/>
              <w:bottom w:val="nil"/>
              <w:right w:val="nil"/>
            </w:tcBorders>
            <w:shd w:val="clear" w:color="auto" w:fill="auto"/>
            <w:noWrap/>
            <w:vAlign w:val="bottom"/>
            <w:hideMark/>
          </w:tcPr>
          <w:p w14:paraId="6D640D6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南京</w:t>
            </w:r>
          </w:p>
        </w:tc>
        <w:tc>
          <w:tcPr>
            <w:tcW w:w="936" w:type="dxa"/>
            <w:tcBorders>
              <w:top w:val="nil"/>
              <w:left w:val="single" w:sz="4" w:space="0" w:color="auto"/>
              <w:bottom w:val="nil"/>
              <w:right w:val="nil"/>
            </w:tcBorders>
            <w:shd w:val="clear" w:color="auto" w:fill="auto"/>
            <w:noWrap/>
            <w:vAlign w:val="bottom"/>
            <w:hideMark/>
          </w:tcPr>
          <w:p w14:paraId="32638CF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175,829</w:t>
            </w:r>
          </w:p>
        </w:tc>
        <w:tc>
          <w:tcPr>
            <w:tcW w:w="765" w:type="dxa"/>
            <w:tcBorders>
              <w:top w:val="nil"/>
              <w:left w:val="nil"/>
              <w:bottom w:val="nil"/>
              <w:right w:val="nil"/>
            </w:tcBorders>
            <w:shd w:val="clear" w:color="auto" w:fill="auto"/>
            <w:noWrap/>
            <w:vAlign w:val="bottom"/>
            <w:hideMark/>
          </w:tcPr>
          <w:p w14:paraId="3023206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w:t>
            </w:r>
          </w:p>
        </w:tc>
        <w:tc>
          <w:tcPr>
            <w:tcW w:w="709" w:type="dxa"/>
            <w:tcBorders>
              <w:top w:val="nil"/>
              <w:left w:val="nil"/>
              <w:bottom w:val="nil"/>
              <w:right w:val="nil"/>
            </w:tcBorders>
            <w:shd w:val="clear" w:color="auto" w:fill="auto"/>
            <w:noWrap/>
            <w:vAlign w:val="bottom"/>
            <w:hideMark/>
          </w:tcPr>
          <w:p w14:paraId="4E9F700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w:t>
            </w:r>
          </w:p>
        </w:tc>
        <w:tc>
          <w:tcPr>
            <w:tcW w:w="708" w:type="dxa"/>
            <w:tcBorders>
              <w:top w:val="nil"/>
              <w:left w:val="single" w:sz="4" w:space="0" w:color="auto"/>
              <w:bottom w:val="nil"/>
              <w:right w:val="nil"/>
            </w:tcBorders>
            <w:shd w:val="clear" w:color="auto" w:fill="auto"/>
            <w:noWrap/>
            <w:vAlign w:val="bottom"/>
            <w:hideMark/>
          </w:tcPr>
          <w:p w14:paraId="559A91F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776</w:t>
            </w:r>
          </w:p>
        </w:tc>
        <w:tc>
          <w:tcPr>
            <w:tcW w:w="756" w:type="dxa"/>
            <w:tcBorders>
              <w:top w:val="nil"/>
              <w:left w:val="nil"/>
              <w:bottom w:val="nil"/>
              <w:right w:val="nil"/>
            </w:tcBorders>
            <w:shd w:val="clear" w:color="auto" w:fill="auto"/>
            <w:noWrap/>
            <w:vAlign w:val="bottom"/>
            <w:hideMark/>
          </w:tcPr>
          <w:p w14:paraId="25DF8D0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419%</w:t>
            </w:r>
          </w:p>
        </w:tc>
        <w:tc>
          <w:tcPr>
            <w:tcW w:w="662" w:type="dxa"/>
            <w:tcBorders>
              <w:top w:val="nil"/>
              <w:left w:val="nil"/>
              <w:bottom w:val="nil"/>
              <w:right w:val="nil"/>
            </w:tcBorders>
            <w:shd w:val="clear" w:color="auto" w:fill="auto"/>
            <w:noWrap/>
            <w:vAlign w:val="bottom"/>
            <w:hideMark/>
          </w:tcPr>
          <w:p w14:paraId="0C30F6AB"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54%</w:t>
            </w:r>
          </w:p>
        </w:tc>
        <w:tc>
          <w:tcPr>
            <w:tcW w:w="850" w:type="dxa"/>
            <w:tcBorders>
              <w:top w:val="nil"/>
              <w:left w:val="single" w:sz="4" w:space="0" w:color="auto"/>
              <w:bottom w:val="nil"/>
              <w:right w:val="nil"/>
            </w:tcBorders>
            <w:shd w:val="clear" w:color="auto" w:fill="auto"/>
            <w:noWrap/>
            <w:vAlign w:val="bottom"/>
            <w:hideMark/>
          </w:tcPr>
          <w:p w14:paraId="4D73C46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105</w:t>
            </w:r>
          </w:p>
        </w:tc>
        <w:tc>
          <w:tcPr>
            <w:tcW w:w="666" w:type="dxa"/>
            <w:tcBorders>
              <w:top w:val="nil"/>
              <w:left w:val="nil"/>
              <w:bottom w:val="nil"/>
              <w:right w:val="nil"/>
            </w:tcBorders>
            <w:shd w:val="clear" w:color="auto" w:fill="auto"/>
            <w:noWrap/>
            <w:vAlign w:val="bottom"/>
            <w:hideMark/>
          </w:tcPr>
          <w:p w14:paraId="6D428BC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33%</w:t>
            </w:r>
          </w:p>
        </w:tc>
        <w:tc>
          <w:tcPr>
            <w:tcW w:w="752" w:type="dxa"/>
            <w:tcBorders>
              <w:top w:val="nil"/>
              <w:left w:val="nil"/>
              <w:bottom w:val="nil"/>
              <w:right w:val="nil"/>
            </w:tcBorders>
            <w:shd w:val="clear" w:color="auto" w:fill="auto"/>
            <w:noWrap/>
            <w:vAlign w:val="bottom"/>
            <w:hideMark/>
          </w:tcPr>
          <w:p w14:paraId="2CF9C59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w:t>
            </w:r>
          </w:p>
        </w:tc>
        <w:tc>
          <w:tcPr>
            <w:tcW w:w="709" w:type="dxa"/>
            <w:tcBorders>
              <w:top w:val="nil"/>
              <w:left w:val="single" w:sz="4" w:space="0" w:color="auto"/>
              <w:bottom w:val="nil"/>
              <w:right w:val="nil"/>
            </w:tcBorders>
            <w:shd w:val="clear" w:color="auto" w:fill="auto"/>
            <w:noWrap/>
            <w:vAlign w:val="bottom"/>
            <w:hideMark/>
          </w:tcPr>
          <w:p w14:paraId="051CDE7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1,496</w:t>
            </w:r>
          </w:p>
        </w:tc>
        <w:tc>
          <w:tcPr>
            <w:tcW w:w="762" w:type="dxa"/>
            <w:tcBorders>
              <w:top w:val="nil"/>
              <w:left w:val="nil"/>
              <w:bottom w:val="nil"/>
              <w:right w:val="nil"/>
            </w:tcBorders>
            <w:shd w:val="clear" w:color="auto" w:fill="auto"/>
            <w:noWrap/>
            <w:vAlign w:val="bottom"/>
            <w:hideMark/>
          </w:tcPr>
          <w:p w14:paraId="3F90053A"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24%</w:t>
            </w:r>
          </w:p>
        </w:tc>
      </w:tr>
      <w:tr w:rsidR="0064654E" w:rsidRPr="0064654E" w14:paraId="22DA18BB" w14:textId="77777777" w:rsidTr="0064654E">
        <w:trPr>
          <w:trHeight w:val="290"/>
        </w:trPr>
        <w:tc>
          <w:tcPr>
            <w:tcW w:w="1418" w:type="dxa"/>
            <w:tcBorders>
              <w:top w:val="nil"/>
              <w:left w:val="nil"/>
              <w:bottom w:val="nil"/>
              <w:right w:val="nil"/>
            </w:tcBorders>
            <w:shd w:val="clear" w:color="auto" w:fill="auto"/>
            <w:noWrap/>
            <w:vAlign w:val="bottom"/>
            <w:hideMark/>
          </w:tcPr>
          <w:p w14:paraId="1A4116F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成都</w:t>
            </w:r>
          </w:p>
        </w:tc>
        <w:tc>
          <w:tcPr>
            <w:tcW w:w="936" w:type="dxa"/>
            <w:tcBorders>
              <w:top w:val="nil"/>
              <w:left w:val="single" w:sz="4" w:space="0" w:color="auto"/>
              <w:bottom w:val="nil"/>
              <w:right w:val="nil"/>
            </w:tcBorders>
            <w:shd w:val="clear" w:color="auto" w:fill="auto"/>
            <w:noWrap/>
            <w:vAlign w:val="bottom"/>
            <w:hideMark/>
          </w:tcPr>
          <w:p w14:paraId="4E1A81A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85,569</w:t>
            </w:r>
          </w:p>
        </w:tc>
        <w:tc>
          <w:tcPr>
            <w:tcW w:w="765" w:type="dxa"/>
            <w:tcBorders>
              <w:top w:val="nil"/>
              <w:left w:val="nil"/>
              <w:bottom w:val="nil"/>
              <w:right w:val="nil"/>
            </w:tcBorders>
            <w:shd w:val="clear" w:color="auto" w:fill="auto"/>
            <w:noWrap/>
            <w:vAlign w:val="bottom"/>
            <w:hideMark/>
          </w:tcPr>
          <w:p w14:paraId="69ECDCE6"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w:t>
            </w:r>
          </w:p>
        </w:tc>
        <w:tc>
          <w:tcPr>
            <w:tcW w:w="709" w:type="dxa"/>
            <w:tcBorders>
              <w:top w:val="nil"/>
              <w:left w:val="nil"/>
              <w:bottom w:val="nil"/>
              <w:right w:val="nil"/>
            </w:tcBorders>
            <w:shd w:val="clear" w:color="auto" w:fill="auto"/>
            <w:noWrap/>
            <w:vAlign w:val="bottom"/>
            <w:hideMark/>
          </w:tcPr>
          <w:p w14:paraId="3EE35FB6"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-68%</w:t>
            </w:r>
          </w:p>
        </w:tc>
        <w:tc>
          <w:tcPr>
            <w:tcW w:w="708" w:type="dxa"/>
            <w:tcBorders>
              <w:top w:val="nil"/>
              <w:left w:val="single" w:sz="4" w:space="0" w:color="auto"/>
              <w:bottom w:val="nil"/>
              <w:right w:val="nil"/>
            </w:tcBorders>
            <w:shd w:val="clear" w:color="auto" w:fill="auto"/>
            <w:noWrap/>
            <w:vAlign w:val="bottom"/>
            <w:hideMark/>
          </w:tcPr>
          <w:p w14:paraId="33DBA22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317</w:t>
            </w:r>
          </w:p>
        </w:tc>
        <w:tc>
          <w:tcPr>
            <w:tcW w:w="756" w:type="dxa"/>
            <w:tcBorders>
              <w:top w:val="nil"/>
              <w:left w:val="nil"/>
              <w:bottom w:val="nil"/>
              <w:right w:val="nil"/>
            </w:tcBorders>
            <w:shd w:val="clear" w:color="auto" w:fill="auto"/>
            <w:noWrap/>
            <w:vAlign w:val="bottom"/>
            <w:hideMark/>
          </w:tcPr>
          <w:p w14:paraId="0BE7C41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283%</w:t>
            </w:r>
          </w:p>
        </w:tc>
        <w:tc>
          <w:tcPr>
            <w:tcW w:w="662" w:type="dxa"/>
            <w:tcBorders>
              <w:top w:val="nil"/>
              <w:left w:val="nil"/>
              <w:bottom w:val="nil"/>
              <w:right w:val="nil"/>
            </w:tcBorders>
            <w:shd w:val="clear" w:color="auto" w:fill="auto"/>
            <w:noWrap/>
            <w:vAlign w:val="bottom"/>
            <w:hideMark/>
          </w:tcPr>
          <w:p w14:paraId="555AD37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-72%</w:t>
            </w:r>
          </w:p>
        </w:tc>
        <w:tc>
          <w:tcPr>
            <w:tcW w:w="850" w:type="dxa"/>
            <w:tcBorders>
              <w:top w:val="nil"/>
              <w:left w:val="single" w:sz="4" w:space="0" w:color="auto"/>
              <w:bottom w:val="nil"/>
              <w:right w:val="nil"/>
            </w:tcBorders>
            <w:shd w:val="clear" w:color="auto" w:fill="auto"/>
            <w:noWrap/>
            <w:vAlign w:val="bottom"/>
            <w:hideMark/>
          </w:tcPr>
          <w:p w14:paraId="186E602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57</w:t>
            </w:r>
          </w:p>
        </w:tc>
        <w:tc>
          <w:tcPr>
            <w:tcW w:w="666" w:type="dxa"/>
            <w:tcBorders>
              <w:top w:val="nil"/>
              <w:left w:val="nil"/>
              <w:bottom w:val="nil"/>
              <w:right w:val="nil"/>
            </w:tcBorders>
            <w:shd w:val="clear" w:color="auto" w:fill="auto"/>
            <w:noWrap/>
            <w:vAlign w:val="bottom"/>
            <w:hideMark/>
          </w:tcPr>
          <w:p w14:paraId="5D6BAAA8"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79%</w:t>
            </w:r>
          </w:p>
        </w:tc>
        <w:tc>
          <w:tcPr>
            <w:tcW w:w="752" w:type="dxa"/>
            <w:tcBorders>
              <w:top w:val="nil"/>
              <w:left w:val="nil"/>
              <w:bottom w:val="nil"/>
              <w:right w:val="nil"/>
            </w:tcBorders>
            <w:shd w:val="clear" w:color="auto" w:fill="auto"/>
            <w:noWrap/>
            <w:vAlign w:val="bottom"/>
            <w:hideMark/>
          </w:tcPr>
          <w:p w14:paraId="067EDDD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-62%</w:t>
            </w:r>
          </w:p>
        </w:tc>
        <w:tc>
          <w:tcPr>
            <w:tcW w:w="709" w:type="dxa"/>
            <w:tcBorders>
              <w:top w:val="nil"/>
              <w:left w:val="single" w:sz="4" w:space="0" w:color="auto"/>
              <w:bottom w:val="nil"/>
              <w:right w:val="nil"/>
            </w:tcBorders>
            <w:shd w:val="clear" w:color="auto" w:fill="auto"/>
            <w:noWrap/>
            <w:vAlign w:val="bottom"/>
            <w:hideMark/>
          </w:tcPr>
          <w:p w14:paraId="4C11C07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996</w:t>
            </w:r>
          </w:p>
        </w:tc>
        <w:tc>
          <w:tcPr>
            <w:tcW w:w="762" w:type="dxa"/>
            <w:tcBorders>
              <w:top w:val="nil"/>
              <w:left w:val="nil"/>
              <w:bottom w:val="nil"/>
              <w:right w:val="nil"/>
            </w:tcBorders>
            <w:shd w:val="clear" w:color="auto" w:fill="auto"/>
            <w:noWrap/>
            <w:vAlign w:val="bottom"/>
            <w:hideMark/>
          </w:tcPr>
          <w:p w14:paraId="6011B859"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-58%</w:t>
            </w:r>
          </w:p>
        </w:tc>
      </w:tr>
      <w:tr w:rsidR="0064654E" w:rsidRPr="0064654E" w14:paraId="7618EE26" w14:textId="77777777" w:rsidTr="0064654E">
        <w:trPr>
          <w:trHeight w:val="290"/>
        </w:trPr>
        <w:tc>
          <w:tcPr>
            <w:tcW w:w="1418" w:type="dxa"/>
            <w:tcBorders>
              <w:top w:val="nil"/>
              <w:left w:val="nil"/>
              <w:bottom w:val="nil"/>
              <w:right w:val="nil"/>
            </w:tcBorders>
            <w:shd w:val="clear" w:color="auto" w:fill="auto"/>
            <w:noWrap/>
            <w:vAlign w:val="bottom"/>
            <w:hideMark/>
          </w:tcPr>
          <w:p w14:paraId="23F3951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青岛</w:t>
            </w:r>
          </w:p>
        </w:tc>
        <w:tc>
          <w:tcPr>
            <w:tcW w:w="936" w:type="dxa"/>
            <w:tcBorders>
              <w:top w:val="nil"/>
              <w:left w:val="single" w:sz="4" w:space="0" w:color="auto"/>
              <w:bottom w:val="nil"/>
              <w:right w:val="nil"/>
            </w:tcBorders>
            <w:shd w:val="clear" w:color="auto" w:fill="auto"/>
            <w:noWrap/>
            <w:vAlign w:val="bottom"/>
            <w:hideMark/>
          </w:tcPr>
          <w:p w14:paraId="52AADD4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85,947</w:t>
            </w:r>
          </w:p>
        </w:tc>
        <w:tc>
          <w:tcPr>
            <w:tcW w:w="765" w:type="dxa"/>
            <w:tcBorders>
              <w:top w:val="nil"/>
              <w:left w:val="nil"/>
              <w:bottom w:val="nil"/>
              <w:right w:val="nil"/>
            </w:tcBorders>
            <w:shd w:val="clear" w:color="auto" w:fill="auto"/>
            <w:noWrap/>
            <w:vAlign w:val="bottom"/>
            <w:hideMark/>
          </w:tcPr>
          <w:p w14:paraId="7FF7014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w:t>
            </w:r>
          </w:p>
        </w:tc>
        <w:tc>
          <w:tcPr>
            <w:tcW w:w="709" w:type="dxa"/>
            <w:tcBorders>
              <w:top w:val="nil"/>
              <w:left w:val="nil"/>
              <w:bottom w:val="nil"/>
              <w:right w:val="nil"/>
            </w:tcBorders>
            <w:shd w:val="clear" w:color="auto" w:fill="auto"/>
            <w:noWrap/>
            <w:vAlign w:val="bottom"/>
            <w:hideMark/>
          </w:tcPr>
          <w:p w14:paraId="41F89B2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w:t>
            </w:r>
          </w:p>
        </w:tc>
        <w:tc>
          <w:tcPr>
            <w:tcW w:w="708" w:type="dxa"/>
            <w:tcBorders>
              <w:top w:val="nil"/>
              <w:left w:val="single" w:sz="4" w:space="0" w:color="auto"/>
              <w:bottom w:val="nil"/>
              <w:right w:val="nil"/>
            </w:tcBorders>
            <w:shd w:val="clear" w:color="auto" w:fill="auto"/>
            <w:noWrap/>
            <w:vAlign w:val="bottom"/>
            <w:hideMark/>
          </w:tcPr>
          <w:p w14:paraId="7965980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331</w:t>
            </w:r>
          </w:p>
        </w:tc>
        <w:tc>
          <w:tcPr>
            <w:tcW w:w="756" w:type="dxa"/>
            <w:tcBorders>
              <w:top w:val="nil"/>
              <w:left w:val="nil"/>
              <w:bottom w:val="nil"/>
              <w:right w:val="nil"/>
            </w:tcBorders>
            <w:shd w:val="clear" w:color="auto" w:fill="auto"/>
            <w:noWrap/>
            <w:vAlign w:val="bottom"/>
            <w:hideMark/>
          </w:tcPr>
          <w:p w14:paraId="498776A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208%</w:t>
            </w:r>
          </w:p>
        </w:tc>
        <w:tc>
          <w:tcPr>
            <w:tcW w:w="662" w:type="dxa"/>
            <w:tcBorders>
              <w:top w:val="nil"/>
              <w:left w:val="nil"/>
              <w:bottom w:val="nil"/>
              <w:right w:val="nil"/>
            </w:tcBorders>
            <w:shd w:val="clear" w:color="auto" w:fill="auto"/>
            <w:noWrap/>
            <w:vAlign w:val="bottom"/>
            <w:hideMark/>
          </w:tcPr>
          <w:p w14:paraId="6CE0B52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-19%</w:t>
            </w:r>
          </w:p>
        </w:tc>
        <w:tc>
          <w:tcPr>
            <w:tcW w:w="850" w:type="dxa"/>
            <w:tcBorders>
              <w:top w:val="nil"/>
              <w:left w:val="single" w:sz="4" w:space="0" w:color="auto"/>
              <w:bottom w:val="nil"/>
              <w:right w:val="nil"/>
            </w:tcBorders>
            <w:shd w:val="clear" w:color="auto" w:fill="auto"/>
            <w:noWrap/>
            <w:vAlign w:val="bottom"/>
            <w:hideMark/>
          </w:tcPr>
          <w:p w14:paraId="0393292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47</w:t>
            </w:r>
          </w:p>
        </w:tc>
        <w:tc>
          <w:tcPr>
            <w:tcW w:w="666" w:type="dxa"/>
            <w:tcBorders>
              <w:top w:val="nil"/>
              <w:left w:val="nil"/>
              <w:bottom w:val="nil"/>
              <w:right w:val="nil"/>
            </w:tcBorders>
            <w:shd w:val="clear" w:color="auto" w:fill="auto"/>
            <w:noWrap/>
            <w:vAlign w:val="bottom"/>
            <w:hideMark/>
          </w:tcPr>
          <w:p w14:paraId="3F9ECB2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59%</w:t>
            </w:r>
          </w:p>
        </w:tc>
        <w:tc>
          <w:tcPr>
            <w:tcW w:w="752" w:type="dxa"/>
            <w:tcBorders>
              <w:top w:val="nil"/>
              <w:left w:val="nil"/>
              <w:bottom w:val="nil"/>
              <w:right w:val="nil"/>
            </w:tcBorders>
            <w:shd w:val="clear" w:color="auto" w:fill="auto"/>
            <w:noWrap/>
            <w:vAlign w:val="bottom"/>
            <w:hideMark/>
          </w:tcPr>
          <w:p w14:paraId="49E49F6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w:t>
            </w:r>
          </w:p>
        </w:tc>
        <w:tc>
          <w:tcPr>
            <w:tcW w:w="709" w:type="dxa"/>
            <w:tcBorders>
              <w:top w:val="nil"/>
              <w:left w:val="single" w:sz="4" w:space="0" w:color="auto"/>
              <w:bottom w:val="nil"/>
              <w:right w:val="nil"/>
            </w:tcBorders>
            <w:shd w:val="clear" w:color="auto" w:fill="auto"/>
            <w:noWrap/>
            <w:vAlign w:val="bottom"/>
            <w:hideMark/>
          </w:tcPr>
          <w:p w14:paraId="62C37B5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763</w:t>
            </w:r>
          </w:p>
        </w:tc>
        <w:tc>
          <w:tcPr>
            <w:tcW w:w="762" w:type="dxa"/>
            <w:tcBorders>
              <w:top w:val="nil"/>
              <w:left w:val="nil"/>
              <w:bottom w:val="nil"/>
              <w:right w:val="nil"/>
            </w:tcBorders>
            <w:shd w:val="clear" w:color="auto" w:fill="auto"/>
            <w:noWrap/>
            <w:vAlign w:val="bottom"/>
            <w:hideMark/>
          </w:tcPr>
          <w:p w14:paraId="005FCBC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-9%</w:t>
            </w:r>
          </w:p>
        </w:tc>
      </w:tr>
      <w:tr w:rsidR="0064654E" w:rsidRPr="0064654E" w14:paraId="3EA209E6" w14:textId="77777777" w:rsidTr="0064654E">
        <w:trPr>
          <w:trHeight w:val="290"/>
        </w:trPr>
        <w:tc>
          <w:tcPr>
            <w:tcW w:w="1418" w:type="dxa"/>
            <w:tcBorders>
              <w:top w:val="nil"/>
              <w:left w:val="nil"/>
              <w:bottom w:val="nil"/>
              <w:right w:val="nil"/>
            </w:tcBorders>
            <w:shd w:val="clear" w:color="auto" w:fill="auto"/>
            <w:noWrap/>
            <w:vAlign w:val="bottom"/>
            <w:hideMark/>
          </w:tcPr>
          <w:p w14:paraId="357520BE"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无锡</w:t>
            </w:r>
          </w:p>
        </w:tc>
        <w:tc>
          <w:tcPr>
            <w:tcW w:w="936" w:type="dxa"/>
            <w:tcBorders>
              <w:top w:val="nil"/>
              <w:left w:val="single" w:sz="4" w:space="0" w:color="auto"/>
              <w:bottom w:val="nil"/>
              <w:right w:val="nil"/>
            </w:tcBorders>
            <w:shd w:val="clear" w:color="auto" w:fill="auto"/>
            <w:noWrap/>
            <w:vAlign w:val="bottom"/>
            <w:hideMark/>
          </w:tcPr>
          <w:p w14:paraId="6975E15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122,522</w:t>
            </w:r>
          </w:p>
        </w:tc>
        <w:tc>
          <w:tcPr>
            <w:tcW w:w="765" w:type="dxa"/>
            <w:tcBorders>
              <w:top w:val="nil"/>
              <w:left w:val="nil"/>
              <w:bottom w:val="nil"/>
              <w:right w:val="nil"/>
            </w:tcBorders>
            <w:shd w:val="clear" w:color="auto" w:fill="auto"/>
            <w:noWrap/>
            <w:vAlign w:val="bottom"/>
            <w:hideMark/>
          </w:tcPr>
          <w:p w14:paraId="6A52383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w:t>
            </w:r>
          </w:p>
        </w:tc>
        <w:tc>
          <w:tcPr>
            <w:tcW w:w="709" w:type="dxa"/>
            <w:tcBorders>
              <w:top w:val="nil"/>
              <w:left w:val="nil"/>
              <w:bottom w:val="nil"/>
              <w:right w:val="nil"/>
            </w:tcBorders>
            <w:shd w:val="clear" w:color="auto" w:fill="auto"/>
            <w:noWrap/>
            <w:vAlign w:val="bottom"/>
            <w:hideMark/>
          </w:tcPr>
          <w:p w14:paraId="6F439AFA"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16%</w:t>
            </w:r>
          </w:p>
        </w:tc>
        <w:tc>
          <w:tcPr>
            <w:tcW w:w="708" w:type="dxa"/>
            <w:tcBorders>
              <w:top w:val="nil"/>
              <w:left w:val="single" w:sz="4" w:space="0" w:color="auto"/>
              <w:bottom w:val="nil"/>
              <w:right w:val="nil"/>
            </w:tcBorders>
            <w:shd w:val="clear" w:color="auto" w:fill="auto"/>
            <w:noWrap/>
            <w:vAlign w:val="bottom"/>
            <w:hideMark/>
          </w:tcPr>
          <w:p w14:paraId="0F9D527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448</w:t>
            </w:r>
          </w:p>
        </w:tc>
        <w:tc>
          <w:tcPr>
            <w:tcW w:w="756" w:type="dxa"/>
            <w:tcBorders>
              <w:top w:val="nil"/>
              <w:left w:val="nil"/>
              <w:bottom w:val="nil"/>
              <w:right w:val="nil"/>
            </w:tcBorders>
            <w:shd w:val="clear" w:color="auto" w:fill="auto"/>
            <w:noWrap/>
            <w:vAlign w:val="bottom"/>
            <w:hideMark/>
          </w:tcPr>
          <w:p w14:paraId="2171A3EE"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626%</w:t>
            </w:r>
          </w:p>
        </w:tc>
        <w:tc>
          <w:tcPr>
            <w:tcW w:w="662" w:type="dxa"/>
            <w:tcBorders>
              <w:top w:val="nil"/>
              <w:left w:val="nil"/>
              <w:bottom w:val="nil"/>
              <w:right w:val="nil"/>
            </w:tcBorders>
            <w:shd w:val="clear" w:color="auto" w:fill="auto"/>
            <w:noWrap/>
            <w:vAlign w:val="bottom"/>
            <w:hideMark/>
          </w:tcPr>
          <w:p w14:paraId="1FAAAF3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w:t>
            </w:r>
          </w:p>
        </w:tc>
        <w:tc>
          <w:tcPr>
            <w:tcW w:w="850" w:type="dxa"/>
            <w:tcBorders>
              <w:top w:val="nil"/>
              <w:left w:val="single" w:sz="4" w:space="0" w:color="auto"/>
              <w:bottom w:val="nil"/>
              <w:right w:val="nil"/>
            </w:tcBorders>
            <w:shd w:val="clear" w:color="auto" w:fill="auto"/>
            <w:noWrap/>
            <w:vAlign w:val="bottom"/>
            <w:hideMark/>
          </w:tcPr>
          <w:p w14:paraId="72117F7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70</w:t>
            </w:r>
          </w:p>
        </w:tc>
        <w:tc>
          <w:tcPr>
            <w:tcW w:w="666" w:type="dxa"/>
            <w:tcBorders>
              <w:top w:val="nil"/>
              <w:left w:val="nil"/>
              <w:bottom w:val="nil"/>
              <w:right w:val="nil"/>
            </w:tcBorders>
            <w:shd w:val="clear" w:color="auto" w:fill="auto"/>
            <w:noWrap/>
            <w:vAlign w:val="bottom"/>
            <w:hideMark/>
          </w:tcPr>
          <w:p w14:paraId="2453DCF0" w14:textId="77777777" w:rsidR="0064654E" w:rsidRPr="0064654E" w:rsidRDefault="0064654E" w:rsidP="0064654E">
            <w:pPr>
              <w:spacing w:after="0" w:line="240" w:lineRule="auto"/>
              <w:ind w:right="0"/>
              <w:jc w:val="center"/>
              <w:outlineLvl w:val="0"/>
              <w:rPr>
                <w:rFonts w:eastAsia="宋体" w:cs="Times New Roman"/>
                <w:b/>
                <w:bCs/>
                <w:color w:val="00B050"/>
                <w:sz w:val="18"/>
                <w:szCs w:val="18"/>
              </w:rPr>
            </w:pPr>
            <w:r w:rsidRPr="0064654E">
              <w:rPr>
                <w:rFonts w:eastAsia="宋体" w:cs="Times New Roman"/>
                <w:b/>
                <w:bCs/>
                <w:color w:val="00B050"/>
                <w:sz w:val="18"/>
                <w:szCs w:val="18"/>
              </w:rPr>
              <w:t>118%</w:t>
            </w:r>
          </w:p>
        </w:tc>
        <w:tc>
          <w:tcPr>
            <w:tcW w:w="752" w:type="dxa"/>
            <w:tcBorders>
              <w:top w:val="nil"/>
              <w:left w:val="nil"/>
              <w:bottom w:val="nil"/>
              <w:right w:val="nil"/>
            </w:tcBorders>
            <w:shd w:val="clear" w:color="auto" w:fill="auto"/>
            <w:noWrap/>
            <w:vAlign w:val="bottom"/>
            <w:hideMark/>
          </w:tcPr>
          <w:p w14:paraId="404F9B7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w:t>
            </w:r>
          </w:p>
        </w:tc>
        <w:tc>
          <w:tcPr>
            <w:tcW w:w="709" w:type="dxa"/>
            <w:tcBorders>
              <w:top w:val="nil"/>
              <w:left w:val="single" w:sz="4" w:space="0" w:color="auto"/>
              <w:bottom w:val="nil"/>
              <w:right w:val="nil"/>
            </w:tcBorders>
            <w:shd w:val="clear" w:color="auto" w:fill="auto"/>
            <w:noWrap/>
            <w:vAlign w:val="bottom"/>
            <w:hideMark/>
          </w:tcPr>
          <w:p w14:paraId="490BC12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835</w:t>
            </w:r>
          </w:p>
        </w:tc>
        <w:tc>
          <w:tcPr>
            <w:tcW w:w="762" w:type="dxa"/>
            <w:tcBorders>
              <w:top w:val="nil"/>
              <w:left w:val="nil"/>
              <w:bottom w:val="nil"/>
              <w:right w:val="nil"/>
            </w:tcBorders>
            <w:shd w:val="clear" w:color="auto" w:fill="auto"/>
            <w:noWrap/>
            <w:vAlign w:val="bottom"/>
            <w:hideMark/>
          </w:tcPr>
          <w:p w14:paraId="62FDD35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w:t>
            </w:r>
          </w:p>
        </w:tc>
      </w:tr>
      <w:tr w:rsidR="0064654E" w:rsidRPr="0064654E" w14:paraId="66F3598F" w14:textId="77777777" w:rsidTr="0064654E">
        <w:trPr>
          <w:trHeight w:val="290"/>
        </w:trPr>
        <w:tc>
          <w:tcPr>
            <w:tcW w:w="1418" w:type="dxa"/>
            <w:tcBorders>
              <w:top w:val="nil"/>
              <w:left w:val="nil"/>
              <w:bottom w:val="nil"/>
              <w:right w:val="nil"/>
            </w:tcBorders>
            <w:shd w:val="clear" w:color="auto" w:fill="auto"/>
            <w:noWrap/>
            <w:vAlign w:val="bottom"/>
            <w:hideMark/>
          </w:tcPr>
          <w:p w14:paraId="69628D1A"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苏州</w:t>
            </w:r>
          </w:p>
        </w:tc>
        <w:tc>
          <w:tcPr>
            <w:tcW w:w="936" w:type="dxa"/>
            <w:tcBorders>
              <w:top w:val="nil"/>
              <w:left w:val="single" w:sz="4" w:space="0" w:color="auto"/>
              <w:bottom w:val="nil"/>
              <w:right w:val="nil"/>
            </w:tcBorders>
            <w:shd w:val="clear" w:color="auto" w:fill="auto"/>
            <w:noWrap/>
            <w:vAlign w:val="bottom"/>
            <w:hideMark/>
          </w:tcPr>
          <w:p w14:paraId="04CC026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104,192</w:t>
            </w:r>
          </w:p>
        </w:tc>
        <w:tc>
          <w:tcPr>
            <w:tcW w:w="765" w:type="dxa"/>
            <w:tcBorders>
              <w:top w:val="nil"/>
              <w:left w:val="nil"/>
              <w:bottom w:val="nil"/>
              <w:right w:val="nil"/>
            </w:tcBorders>
            <w:shd w:val="clear" w:color="auto" w:fill="auto"/>
            <w:noWrap/>
            <w:vAlign w:val="bottom"/>
            <w:hideMark/>
          </w:tcPr>
          <w:p w14:paraId="2184E8B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w:t>
            </w:r>
          </w:p>
        </w:tc>
        <w:tc>
          <w:tcPr>
            <w:tcW w:w="709" w:type="dxa"/>
            <w:tcBorders>
              <w:top w:val="nil"/>
              <w:left w:val="nil"/>
              <w:bottom w:val="nil"/>
              <w:right w:val="nil"/>
            </w:tcBorders>
            <w:shd w:val="clear" w:color="auto" w:fill="auto"/>
            <w:noWrap/>
            <w:vAlign w:val="bottom"/>
            <w:hideMark/>
          </w:tcPr>
          <w:p w14:paraId="02E13A6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-56%</w:t>
            </w:r>
          </w:p>
        </w:tc>
        <w:tc>
          <w:tcPr>
            <w:tcW w:w="708" w:type="dxa"/>
            <w:tcBorders>
              <w:top w:val="nil"/>
              <w:left w:val="single" w:sz="4" w:space="0" w:color="auto"/>
              <w:bottom w:val="nil"/>
              <w:right w:val="nil"/>
            </w:tcBorders>
            <w:shd w:val="clear" w:color="auto" w:fill="auto"/>
            <w:noWrap/>
            <w:vAlign w:val="bottom"/>
            <w:hideMark/>
          </w:tcPr>
          <w:p w14:paraId="158B686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480</w:t>
            </w:r>
          </w:p>
        </w:tc>
        <w:tc>
          <w:tcPr>
            <w:tcW w:w="756" w:type="dxa"/>
            <w:tcBorders>
              <w:top w:val="nil"/>
              <w:left w:val="nil"/>
              <w:bottom w:val="nil"/>
              <w:right w:val="nil"/>
            </w:tcBorders>
            <w:shd w:val="clear" w:color="auto" w:fill="auto"/>
            <w:noWrap/>
            <w:vAlign w:val="bottom"/>
            <w:hideMark/>
          </w:tcPr>
          <w:p w14:paraId="2030F41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207%</w:t>
            </w:r>
          </w:p>
        </w:tc>
        <w:tc>
          <w:tcPr>
            <w:tcW w:w="662" w:type="dxa"/>
            <w:tcBorders>
              <w:top w:val="nil"/>
              <w:left w:val="nil"/>
              <w:bottom w:val="nil"/>
              <w:right w:val="nil"/>
            </w:tcBorders>
            <w:shd w:val="clear" w:color="auto" w:fill="auto"/>
            <w:noWrap/>
            <w:vAlign w:val="bottom"/>
            <w:hideMark/>
          </w:tcPr>
          <w:p w14:paraId="1111CBF6"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-32%</w:t>
            </w:r>
          </w:p>
        </w:tc>
        <w:tc>
          <w:tcPr>
            <w:tcW w:w="850" w:type="dxa"/>
            <w:tcBorders>
              <w:top w:val="nil"/>
              <w:left w:val="single" w:sz="4" w:space="0" w:color="auto"/>
              <w:bottom w:val="nil"/>
              <w:right w:val="nil"/>
            </w:tcBorders>
            <w:shd w:val="clear" w:color="auto" w:fill="auto"/>
            <w:noWrap/>
            <w:vAlign w:val="bottom"/>
            <w:hideMark/>
          </w:tcPr>
          <w:p w14:paraId="72CA648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64</w:t>
            </w:r>
          </w:p>
        </w:tc>
        <w:tc>
          <w:tcPr>
            <w:tcW w:w="666" w:type="dxa"/>
            <w:tcBorders>
              <w:top w:val="nil"/>
              <w:left w:val="nil"/>
              <w:bottom w:val="nil"/>
              <w:right w:val="nil"/>
            </w:tcBorders>
            <w:shd w:val="clear" w:color="auto" w:fill="auto"/>
            <w:noWrap/>
            <w:vAlign w:val="bottom"/>
            <w:hideMark/>
          </w:tcPr>
          <w:p w14:paraId="597F3F7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18%</w:t>
            </w:r>
          </w:p>
        </w:tc>
        <w:tc>
          <w:tcPr>
            <w:tcW w:w="752" w:type="dxa"/>
            <w:tcBorders>
              <w:top w:val="nil"/>
              <w:left w:val="nil"/>
              <w:bottom w:val="nil"/>
              <w:right w:val="nil"/>
            </w:tcBorders>
            <w:shd w:val="clear" w:color="auto" w:fill="auto"/>
            <w:noWrap/>
            <w:vAlign w:val="bottom"/>
            <w:hideMark/>
          </w:tcPr>
          <w:p w14:paraId="01B1DF72"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-60%</w:t>
            </w:r>
          </w:p>
        </w:tc>
        <w:tc>
          <w:tcPr>
            <w:tcW w:w="709" w:type="dxa"/>
            <w:tcBorders>
              <w:top w:val="nil"/>
              <w:left w:val="single" w:sz="4" w:space="0" w:color="auto"/>
              <w:bottom w:val="nil"/>
              <w:right w:val="nil"/>
            </w:tcBorders>
            <w:shd w:val="clear" w:color="auto" w:fill="auto"/>
            <w:noWrap/>
            <w:vAlign w:val="bottom"/>
            <w:hideMark/>
          </w:tcPr>
          <w:p w14:paraId="1FD5C287"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1,124</w:t>
            </w:r>
          </w:p>
        </w:tc>
        <w:tc>
          <w:tcPr>
            <w:tcW w:w="762" w:type="dxa"/>
            <w:tcBorders>
              <w:top w:val="nil"/>
              <w:left w:val="nil"/>
              <w:bottom w:val="nil"/>
              <w:right w:val="nil"/>
            </w:tcBorders>
            <w:shd w:val="clear" w:color="auto" w:fill="auto"/>
            <w:noWrap/>
            <w:vAlign w:val="bottom"/>
            <w:hideMark/>
          </w:tcPr>
          <w:p w14:paraId="66946BA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-44%</w:t>
            </w:r>
          </w:p>
        </w:tc>
      </w:tr>
      <w:tr w:rsidR="0064654E" w:rsidRPr="0064654E" w14:paraId="07B4C688" w14:textId="77777777" w:rsidTr="0064654E">
        <w:trPr>
          <w:trHeight w:val="290"/>
        </w:trPr>
        <w:tc>
          <w:tcPr>
            <w:tcW w:w="1418" w:type="dxa"/>
            <w:tcBorders>
              <w:top w:val="nil"/>
              <w:left w:val="nil"/>
              <w:bottom w:val="nil"/>
              <w:right w:val="nil"/>
            </w:tcBorders>
            <w:shd w:val="clear" w:color="auto" w:fill="auto"/>
            <w:noWrap/>
            <w:vAlign w:val="bottom"/>
            <w:hideMark/>
          </w:tcPr>
          <w:p w14:paraId="20BFA60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厦门</w:t>
            </w:r>
          </w:p>
        </w:tc>
        <w:tc>
          <w:tcPr>
            <w:tcW w:w="936" w:type="dxa"/>
            <w:tcBorders>
              <w:top w:val="nil"/>
              <w:left w:val="single" w:sz="4" w:space="0" w:color="auto"/>
              <w:bottom w:val="nil"/>
              <w:right w:val="nil"/>
            </w:tcBorders>
            <w:shd w:val="clear" w:color="auto" w:fill="auto"/>
            <w:noWrap/>
            <w:vAlign w:val="bottom"/>
            <w:hideMark/>
          </w:tcPr>
          <w:p w14:paraId="7350532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47,982</w:t>
            </w:r>
          </w:p>
        </w:tc>
        <w:tc>
          <w:tcPr>
            <w:tcW w:w="765" w:type="dxa"/>
            <w:tcBorders>
              <w:top w:val="nil"/>
              <w:left w:val="nil"/>
              <w:bottom w:val="nil"/>
              <w:right w:val="nil"/>
            </w:tcBorders>
            <w:shd w:val="clear" w:color="auto" w:fill="auto"/>
            <w:noWrap/>
            <w:vAlign w:val="bottom"/>
            <w:hideMark/>
          </w:tcPr>
          <w:p w14:paraId="6B92AA06"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-8%</w:t>
            </w:r>
          </w:p>
        </w:tc>
        <w:tc>
          <w:tcPr>
            <w:tcW w:w="709" w:type="dxa"/>
            <w:tcBorders>
              <w:top w:val="nil"/>
              <w:left w:val="nil"/>
              <w:bottom w:val="nil"/>
              <w:right w:val="nil"/>
            </w:tcBorders>
            <w:shd w:val="clear" w:color="auto" w:fill="auto"/>
            <w:noWrap/>
            <w:vAlign w:val="bottom"/>
            <w:hideMark/>
          </w:tcPr>
          <w:p w14:paraId="7491A47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-59%</w:t>
            </w:r>
          </w:p>
        </w:tc>
        <w:tc>
          <w:tcPr>
            <w:tcW w:w="708" w:type="dxa"/>
            <w:tcBorders>
              <w:top w:val="nil"/>
              <w:left w:val="single" w:sz="4" w:space="0" w:color="auto"/>
              <w:bottom w:val="nil"/>
              <w:right w:val="nil"/>
            </w:tcBorders>
            <w:shd w:val="clear" w:color="auto" w:fill="auto"/>
            <w:noWrap/>
            <w:vAlign w:val="bottom"/>
            <w:hideMark/>
          </w:tcPr>
          <w:p w14:paraId="1260101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217</w:t>
            </w:r>
          </w:p>
        </w:tc>
        <w:tc>
          <w:tcPr>
            <w:tcW w:w="756" w:type="dxa"/>
            <w:tcBorders>
              <w:top w:val="nil"/>
              <w:left w:val="nil"/>
              <w:bottom w:val="nil"/>
              <w:right w:val="nil"/>
            </w:tcBorders>
            <w:shd w:val="clear" w:color="auto" w:fill="auto"/>
            <w:noWrap/>
            <w:vAlign w:val="bottom"/>
            <w:hideMark/>
          </w:tcPr>
          <w:p w14:paraId="0A557974"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146%</w:t>
            </w:r>
          </w:p>
        </w:tc>
        <w:tc>
          <w:tcPr>
            <w:tcW w:w="662" w:type="dxa"/>
            <w:tcBorders>
              <w:top w:val="nil"/>
              <w:left w:val="nil"/>
              <w:bottom w:val="nil"/>
              <w:right w:val="nil"/>
            </w:tcBorders>
            <w:shd w:val="clear" w:color="auto" w:fill="auto"/>
            <w:noWrap/>
            <w:vAlign w:val="bottom"/>
            <w:hideMark/>
          </w:tcPr>
          <w:p w14:paraId="0C2114B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-50%</w:t>
            </w:r>
          </w:p>
        </w:tc>
        <w:tc>
          <w:tcPr>
            <w:tcW w:w="850" w:type="dxa"/>
            <w:tcBorders>
              <w:top w:val="nil"/>
              <w:left w:val="single" w:sz="4" w:space="0" w:color="auto"/>
              <w:bottom w:val="nil"/>
              <w:right w:val="nil"/>
            </w:tcBorders>
            <w:shd w:val="clear" w:color="auto" w:fill="auto"/>
            <w:noWrap/>
            <w:vAlign w:val="bottom"/>
            <w:hideMark/>
          </w:tcPr>
          <w:p w14:paraId="6C252F9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29</w:t>
            </w:r>
          </w:p>
        </w:tc>
        <w:tc>
          <w:tcPr>
            <w:tcW w:w="666" w:type="dxa"/>
            <w:tcBorders>
              <w:top w:val="nil"/>
              <w:left w:val="nil"/>
              <w:bottom w:val="nil"/>
              <w:right w:val="nil"/>
            </w:tcBorders>
            <w:shd w:val="clear" w:color="auto" w:fill="auto"/>
            <w:noWrap/>
            <w:vAlign w:val="bottom"/>
            <w:hideMark/>
          </w:tcPr>
          <w:p w14:paraId="69A0602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34%</w:t>
            </w:r>
          </w:p>
        </w:tc>
        <w:tc>
          <w:tcPr>
            <w:tcW w:w="752" w:type="dxa"/>
            <w:tcBorders>
              <w:top w:val="nil"/>
              <w:left w:val="nil"/>
              <w:bottom w:val="nil"/>
              <w:right w:val="nil"/>
            </w:tcBorders>
            <w:shd w:val="clear" w:color="auto" w:fill="auto"/>
            <w:noWrap/>
            <w:vAlign w:val="bottom"/>
            <w:hideMark/>
          </w:tcPr>
          <w:p w14:paraId="48962C0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-53%</w:t>
            </w:r>
          </w:p>
        </w:tc>
        <w:tc>
          <w:tcPr>
            <w:tcW w:w="709" w:type="dxa"/>
            <w:tcBorders>
              <w:top w:val="nil"/>
              <w:left w:val="single" w:sz="4" w:space="0" w:color="auto"/>
              <w:bottom w:val="nil"/>
              <w:right w:val="nil"/>
            </w:tcBorders>
            <w:shd w:val="clear" w:color="auto" w:fill="auto"/>
            <w:noWrap/>
            <w:vAlign w:val="bottom"/>
            <w:hideMark/>
          </w:tcPr>
          <w:p w14:paraId="44251E8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554</w:t>
            </w:r>
          </w:p>
        </w:tc>
        <w:tc>
          <w:tcPr>
            <w:tcW w:w="762" w:type="dxa"/>
            <w:tcBorders>
              <w:top w:val="nil"/>
              <w:left w:val="nil"/>
              <w:bottom w:val="nil"/>
              <w:right w:val="nil"/>
            </w:tcBorders>
            <w:shd w:val="clear" w:color="auto" w:fill="auto"/>
            <w:noWrap/>
            <w:vAlign w:val="bottom"/>
            <w:hideMark/>
          </w:tcPr>
          <w:p w14:paraId="5F1019A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-41%</w:t>
            </w:r>
          </w:p>
        </w:tc>
      </w:tr>
      <w:tr w:rsidR="0064654E" w:rsidRPr="0064654E" w14:paraId="1775C77F" w14:textId="77777777" w:rsidTr="0064654E">
        <w:trPr>
          <w:trHeight w:val="290"/>
        </w:trPr>
        <w:tc>
          <w:tcPr>
            <w:tcW w:w="1418" w:type="dxa"/>
            <w:tcBorders>
              <w:top w:val="nil"/>
              <w:left w:val="nil"/>
              <w:bottom w:val="nil"/>
              <w:right w:val="nil"/>
            </w:tcBorders>
            <w:shd w:val="clear" w:color="auto" w:fill="auto"/>
            <w:noWrap/>
            <w:vAlign w:val="bottom"/>
            <w:hideMark/>
          </w:tcPr>
          <w:p w14:paraId="3D30FEF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扬州</w:t>
            </w:r>
          </w:p>
        </w:tc>
        <w:tc>
          <w:tcPr>
            <w:tcW w:w="936" w:type="dxa"/>
            <w:tcBorders>
              <w:top w:val="nil"/>
              <w:left w:val="single" w:sz="4" w:space="0" w:color="auto"/>
              <w:bottom w:val="nil"/>
              <w:right w:val="nil"/>
            </w:tcBorders>
            <w:shd w:val="clear" w:color="auto" w:fill="auto"/>
            <w:noWrap/>
            <w:vAlign w:val="bottom"/>
            <w:hideMark/>
          </w:tcPr>
          <w:p w14:paraId="1BB2F080"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27,553</w:t>
            </w:r>
          </w:p>
        </w:tc>
        <w:tc>
          <w:tcPr>
            <w:tcW w:w="765" w:type="dxa"/>
            <w:tcBorders>
              <w:top w:val="nil"/>
              <w:left w:val="nil"/>
              <w:bottom w:val="nil"/>
              <w:right w:val="nil"/>
            </w:tcBorders>
            <w:shd w:val="clear" w:color="auto" w:fill="auto"/>
            <w:noWrap/>
            <w:vAlign w:val="bottom"/>
            <w:hideMark/>
          </w:tcPr>
          <w:p w14:paraId="3AC12801"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18%</w:t>
            </w:r>
          </w:p>
        </w:tc>
        <w:tc>
          <w:tcPr>
            <w:tcW w:w="709" w:type="dxa"/>
            <w:tcBorders>
              <w:top w:val="nil"/>
              <w:left w:val="nil"/>
              <w:bottom w:val="nil"/>
              <w:right w:val="nil"/>
            </w:tcBorders>
            <w:shd w:val="clear" w:color="auto" w:fill="auto"/>
            <w:noWrap/>
            <w:vAlign w:val="bottom"/>
            <w:hideMark/>
          </w:tcPr>
          <w:p w14:paraId="1F288F79"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63%</w:t>
            </w:r>
          </w:p>
        </w:tc>
        <w:tc>
          <w:tcPr>
            <w:tcW w:w="708" w:type="dxa"/>
            <w:tcBorders>
              <w:top w:val="nil"/>
              <w:left w:val="single" w:sz="4" w:space="0" w:color="auto"/>
              <w:bottom w:val="nil"/>
              <w:right w:val="nil"/>
            </w:tcBorders>
            <w:shd w:val="clear" w:color="auto" w:fill="auto"/>
            <w:noWrap/>
            <w:vAlign w:val="bottom"/>
            <w:hideMark/>
          </w:tcPr>
          <w:p w14:paraId="7214D80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81</w:t>
            </w:r>
          </w:p>
        </w:tc>
        <w:tc>
          <w:tcPr>
            <w:tcW w:w="756" w:type="dxa"/>
            <w:tcBorders>
              <w:top w:val="nil"/>
              <w:left w:val="nil"/>
              <w:bottom w:val="nil"/>
              <w:right w:val="nil"/>
            </w:tcBorders>
            <w:shd w:val="clear" w:color="auto" w:fill="auto"/>
            <w:noWrap/>
            <w:vAlign w:val="bottom"/>
            <w:hideMark/>
          </w:tcPr>
          <w:p w14:paraId="24B00119"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1204%</w:t>
            </w:r>
          </w:p>
        </w:tc>
        <w:tc>
          <w:tcPr>
            <w:tcW w:w="662" w:type="dxa"/>
            <w:tcBorders>
              <w:top w:val="nil"/>
              <w:left w:val="nil"/>
              <w:bottom w:val="nil"/>
              <w:right w:val="nil"/>
            </w:tcBorders>
            <w:shd w:val="clear" w:color="auto" w:fill="auto"/>
            <w:noWrap/>
            <w:vAlign w:val="bottom"/>
            <w:hideMark/>
          </w:tcPr>
          <w:p w14:paraId="0F26E87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-16%</w:t>
            </w:r>
          </w:p>
        </w:tc>
        <w:tc>
          <w:tcPr>
            <w:tcW w:w="850" w:type="dxa"/>
            <w:tcBorders>
              <w:top w:val="nil"/>
              <w:left w:val="single" w:sz="4" w:space="0" w:color="auto"/>
              <w:bottom w:val="nil"/>
              <w:right w:val="nil"/>
            </w:tcBorders>
            <w:shd w:val="clear" w:color="auto" w:fill="auto"/>
            <w:noWrap/>
            <w:vAlign w:val="bottom"/>
            <w:hideMark/>
          </w:tcPr>
          <w:p w14:paraId="62AFC7A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16</w:t>
            </w:r>
          </w:p>
        </w:tc>
        <w:tc>
          <w:tcPr>
            <w:tcW w:w="666" w:type="dxa"/>
            <w:tcBorders>
              <w:top w:val="nil"/>
              <w:left w:val="nil"/>
              <w:bottom w:val="nil"/>
              <w:right w:val="nil"/>
            </w:tcBorders>
            <w:shd w:val="clear" w:color="auto" w:fill="auto"/>
            <w:noWrap/>
            <w:vAlign w:val="bottom"/>
            <w:hideMark/>
          </w:tcPr>
          <w:p w14:paraId="0C8C6AD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221%</w:t>
            </w:r>
          </w:p>
        </w:tc>
        <w:tc>
          <w:tcPr>
            <w:tcW w:w="752" w:type="dxa"/>
            <w:tcBorders>
              <w:top w:val="nil"/>
              <w:left w:val="nil"/>
              <w:bottom w:val="nil"/>
              <w:right w:val="nil"/>
            </w:tcBorders>
            <w:shd w:val="clear" w:color="auto" w:fill="auto"/>
            <w:noWrap/>
            <w:vAlign w:val="bottom"/>
            <w:hideMark/>
          </w:tcPr>
          <w:p w14:paraId="01EC04B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107%</w:t>
            </w:r>
          </w:p>
        </w:tc>
        <w:tc>
          <w:tcPr>
            <w:tcW w:w="709" w:type="dxa"/>
            <w:tcBorders>
              <w:top w:val="nil"/>
              <w:left w:val="single" w:sz="4" w:space="0" w:color="auto"/>
              <w:bottom w:val="nil"/>
              <w:right w:val="nil"/>
            </w:tcBorders>
            <w:shd w:val="clear" w:color="auto" w:fill="auto"/>
            <w:noWrap/>
            <w:vAlign w:val="bottom"/>
            <w:hideMark/>
          </w:tcPr>
          <w:p w14:paraId="567D99F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149</w:t>
            </w:r>
          </w:p>
        </w:tc>
        <w:tc>
          <w:tcPr>
            <w:tcW w:w="762" w:type="dxa"/>
            <w:tcBorders>
              <w:top w:val="nil"/>
              <w:left w:val="nil"/>
              <w:bottom w:val="nil"/>
              <w:right w:val="nil"/>
            </w:tcBorders>
            <w:shd w:val="clear" w:color="auto" w:fill="auto"/>
            <w:noWrap/>
            <w:vAlign w:val="bottom"/>
            <w:hideMark/>
          </w:tcPr>
          <w:p w14:paraId="2B87E55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-33%</w:t>
            </w:r>
          </w:p>
        </w:tc>
      </w:tr>
      <w:tr w:rsidR="0064654E" w:rsidRPr="0064654E" w14:paraId="089A121F" w14:textId="77777777" w:rsidTr="0064654E">
        <w:trPr>
          <w:trHeight w:val="290"/>
        </w:trPr>
        <w:tc>
          <w:tcPr>
            <w:tcW w:w="1418" w:type="dxa"/>
            <w:tcBorders>
              <w:top w:val="nil"/>
              <w:left w:val="nil"/>
              <w:bottom w:val="nil"/>
              <w:right w:val="nil"/>
            </w:tcBorders>
            <w:shd w:val="clear" w:color="auto" w:fill="auto"/>
            <w:noWrap/>
            <w:vAlign w:val="bottom"/>
            <w:hideMark/>
          </w:tcPr>
          <w:p w14:paraId="1C730FE8"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岳阳</w:t>
            </w:r>
          </w:p>
        </w:tc>
        <w:tc>
          <w:tcPr>
            <w:tcW w:w="936" w:type="dxa"/>
            <w:tcBorders>
              <w:top w:val="nil"/>
              <w:left w:val="single" w:sz="4" w:space="0" w:color="auto"/>
              <w:bottom w:val="nil"/>
              <w:right w:val="nil"/>
            </w:tcBorders>
            <w:shd w:val="clear" w:color="auto" w:fill="auto"/>
            <w:noWrap/>
            <w:vAlign w:val="bottom"/>
            <w:hideMark/>
          </w:tcPr>
          <w:p w14:paraId="0535F6A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8,701</w:t>
            </w:r>
          </w:p>
        </w:tc>
        <w:tc>
          <w:tcPr>
            <w:tcW w:w="765" w:type="dxa"/>
            <w:tcBorders>
              <w:top w:val="nil"/>
              <w:left w:val="nil"/>
              <w:bottom w:val="nil"/>
              <w:right w:val="nil"/>
            </w:tcBorders>
            <w:shd w:val="clear" w:color="auto" w:fill="auto"/>
            <w:noWrap/>
            <w:vAlign w:val="bottom"/>
            <w:hideMark/>
          </w:tcPr>
          <w:p w14:paraId="0244F19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w:t>
            </w:r>
          </w:p>
        </w:tc>
        <w:tc>
          <w:tcPr>
            <w:tcW w:w="709" w:type="dxa"/>
            <w:tcBorders>
              <w:top w:val="nil"/>
              <w:left w:val="nil"/>
              <w:bottom w:val="nil"/>
              <w:right w:val="nil"/>
            </w:tcBorders>
            <w:shd w:val="clear" w:color="auto" w:fill="auto"/>
            <w:noWrap/>
            <w:vAlign w:val="bottom"/>
            <w:hideMark/>
          </w:tcPr>
          <w:p w14:paraId="29F4DDD0"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-42%</w:t>
            </w:r>
          </w:p>
        </w:tc>
        <w:tc>
          <w:tcPr>
            <w:tcW w:w="708" w:type="dxa"/>
            <w:tcBorders>
              <w:top w:val="nil"/>
              <w:left w:val="single" w:sz="4" w:space="0" w:color="auto"/>
              <w:bottom w:val="nil"/>
              <w:right w:val="nil"/>
            </w:tcBorders>
            <w:shd w:val="clear" w:color="auto" w:fill="auto"/>
            <w:noWrap/>
            <w:vAlign w:val="bottom"/>
            <w:hideMark/>
          </w:tcPr>
          <w:p w14:paraId="31EE31A2"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32</w:t>
            </w:r>
          </w:p>
        </w:tc>
        <w:tc>
          <w:tcPr>
            <w:tcW w:w="756" w:type="dxa"/>
            <w:tcBorders>
              <w:top w:val="nil"/>
              <w:left w:val="nil"/>
              <w:bottom w:val="nil"/>
              <w:right w:val="nil"/>
            </w:tcBorders>
            <w:shd w:val="clear" w:color="auto" w:fill="auto"/>
            <w:noWrap/>
            <w:vAlign w:val="bottom"/>
            <w:hideMark/>
          </w:tcPr>
          <w:p w14:paraId="19F2DFC2"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231%</w:t>
            </w:r>
          </w:p>
        </w:tc>
        <w:tc>
          <w:tcPr>
            <w:tcW w:w="662" w:type="dxa"/>
            <w:tcBorders>
              <w:top w:val="nil"/>
              <w:left w:val="nil"/>
              <w:bottom w:val="nil"/>
              <w:right w:val="nil"/>
            </w:tcBorders>
            <w:shd w:val="clear" w:color="auto" w:fill="auto"/>
            <w:noWrap/>
            <w:vAlign w:val="bottom"/>
            <w:hideMark/>
          </w:tcPr>
          <w:p w14:paraId="157EC908"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-53%</w:t>
            </w:r>
          </w:p>
        </w:tc>
        <w:tc>
          <w:tcPr>
            <w:tcW w:w="850" w:type="dxa"/>
            <w:tcBorders>
              <w:top w:val="nil"/>
              <w:left w:val="single" w:sz="4" w:space="0" w:color="auto"/>
              <w:bottom w:val="nil"/>
              <w:right w:val="nil"/>
            </w:tcBorders>
            <w:shd w:val="clear" w:color="auto" w:fill="auto"/>
            <w:noWrap/>
            <w:vAlign w:val="bottom"/>
            <w:hideMark/>
          </w:tcPr>
          <w:p w14:paraId="3BF2EA2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w:t>
            </w:r>
          </w:p>
        </w:tc>
        <w:tc>
          <w:tcPr>
            <w:tcW w:w="666" w:type="dxa"/>
            <w:tcBorders>
              <w:top w:val="nil"/>
              <w:left w:val="nil"/>
              <w:bottom w:val="nil"/>
              <w:right w:val="nil"/>
            </w:tcBorders>
            <w:shd w:val="clear" w:color="auto" w:fill="auto"/>
            <w:noWrap/>
            <w:vAlign w:val="bottom"/>
            <w:hideMark/>
          </w:tcPr>
          <w:p w14:paraId="710EE25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103%</w:t>
            </w:r>
          </w:p>
        </w:tc>
        <w:tc>
          <w:tcPr>
            <w:tcW w:w="752" w:type="dxa"/>
            <w:tcBorders>
              <w:top w:val="nil"/>
              <w:left w:val="nil"/>
              <w:bottom w:val="nil"/>
              <w:right w:val="nil"/>
            </w:tcBorders>
            <w:shd w:val="clear" w:color="auto" w:fill="auto"/>
            <w:noWrap/>
            <w:vAlign w:val="bottom"/>
            <w:hideMark/>
          </w:tcPr>
          <w:p w14:paraId="630E1891"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-39%</w:t>
            </w:r>
          </w:p>
        </w:tc>
        <w:tc>
          <w:tcPr>
            <w:tcW w:w="709" w:type="dxa"/>
            <w:tcBorders>
              <w:top w:val="nil"/>
              <w:left w:val="single" w:sz="4" w:space="0" w:color="auto"/>
              <w:bottom w:val="nil"/>
              <w:right w:val="nil"/>
            </w:tcBorders>
            <w:shd w:val="clear" w:color="auto" w:fill="auto"/>
            <w:noWrap/>
            <w:vAlign w:val="bottom"/>
            <w:hideMark/>
          </w:tcPr>
          <w:p w14:paraId="2ED1615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86</w:t>
            </w:r>
          </w:p>
        </w:tc>
        <w:tc>
          <w:tcPr>
            <w:tcW w:w="762" w:type="dxa"/>
            <w:tcBorders>
              <w:top w:val="nil"/>
              <w:left w:val="nil"/>
              <w:bottom w:val="nil"/>
              <w:right w:val="nil"/>
            </w:tcBorders>
            <w:shd w:val="clear" w:color="auto" w:fill="auto"/>
            <w:noWrap/>
            <w:vAlign w:val="bottom"/>
            <w:hideMark/>
          </w:tcPr>
          <w:p w14:paraId="319051A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-44%</w:t>
            </w:r>
          </w:p>
        </w:tc>
      </w:tr>
      <w:tr w:rsidR="0064654E" w:rsidRPr="0064654E" w14:paraId="24DBAEE8" w14:textId="77777777" w:rsidTr="0064654E">
        <w:trPr>
          <w:trHeight w:val="290"/>
        </w:trPr>
        <w:tc>
          <w:tcPr>
            <w:tcW w:w="1418" w:type="dxa"/>
            <w:tcBorders>
              <w:top w:val="nil"/>
              <w:left w:val="nil"/>
              <w:bottom w:val="nil"/>
              <w:right w:val="nil"/>
            </w:tcBorders>
            <w:shd w:val="clear" w:color="auto" w:fill="auto"/>
            <w:noWrap/>
            <w:vAlign w:val="bottom"/>
            <w:hideMark/>
          </w:tcPr>
          <w:p w14:paraId="19B5F28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南宁</w:t>
            </w:r>
          </w:p>
        </w:tc>
        <w:tc>
          <w:tcPr>
            <w:tcW w:w="936" w:type="dxa"/>
            <w:tcBorders>
              <w:top w:val="nil"/>
              <w:left w:val="single" w:sz="4" w:space="0" w:color="auto"/>
              <w:bottom w:val="nil"/>
              <w:right w:val="nil"/>
            </w:tcBorders>
            <w:shd w:val="clear" w:color="auto" w:fill="auto"/>
            <w:noWrap/>
            <w:vAlign w:val="bottom"/>
            <w:hideMark/>
          </w:tcPr>
          <w:p w14:paraId="7426C30B"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39,355</w:t>
            </w:r>
          </w:p>
        </w:tc>
        <w:tc>
          <w:tcPr>
            <w:tcW w:w="765" w:type="dxa"/>
            <w:tcBorders>
              <w:top w:val="nil"/>
              <w:left w:val="nil"/>
              <w:bottom w:val="nil"/>
              <w:right w:val="nil"/>
            </w:tcBorders>
            <w:shd w:val="clear" w:color="auto" w:fill="auto"/>
            <w:noWrap/>
            <w:vAlign w:val="bottom"/>
            <w:hideMark/>
          </w:tcPr>
          <w:p w14:paraId="0E156334"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w:t>
            </w:r>
          </w:p>
        </w:tc>
        <w:tc>
          <w:tcPr>
            <w:tcW w:w="709" w:type="dxa"/>
            <w:tcBorders>
              <w:top w:val="nil"/>
              <w:left w:val="nil"/>
              <w:bottom w:val="nil"/>
              <w:right w:val="nil"/>
            </w:tcBorders>
            <w:shd w:val="clear" w:color="auto" w:fill="auto"/>
            <w:noWrap/>
            <w:vAlign w:val="bottom"/>
            <w:hideMark/>
          </w:tcPr>
          <w:p w14:paraId="658B6C13"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-35%</w:t>
            </w:r>
          </w:p>
        </w:tc>
        <w:tc>
          <w:tcPr>
            <w:tcW w:w="708" w:type="dxa"/>
            <w:tcBorders>
              <w:top w:val="nil"/>
              <w:left w:val="single" w:sz="4" w:space="0" w:color="auto"/>
              <w:bottom w:val="nil"/>
              <w:right w:val="nil"/>
            </w:tcBorders>
            <w:shd w:val="clear" w:color="auto" w:fill="auto"/>
            <w:noWrap/>
            <w:vAlign w:val="bottom"/>
            <w:hideMark/>
          </w:tcPr>
          <w:p w14:paraId="30BDF8D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218</w:t>
            </w:r>
          </w:p>
        </w:tc>
        <w:tc>
          <w:tcPr>
            <w:tcW w:w="756" w:type="dxa"/>
            <w:tcBorders>
              <w:top w:val="nil"/>
              <w:left w:val="nil"/>
              <w:bottom w:val="nil"/>
              <w:right w:val="nil"/>
            </w:tcBorders>
            <w:shd w:val="clear" w:color="auto" w:fill="auto"/>
            <w:noWrap/>
            <w:vAlign w:val="bottom"/>
            <w:hideMark/>
          </w:tcPr>
          <w:p w14:paraId="0300CF3E"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2728%</w:t>
            </w:r>
          </w:p>
        </w:tc>
        <w:tc>
          <w:tcPr>
            <w:tcW w:w="662" w:type="dxa"/>
            <w:tcBorders>
              <w:top w:val="nil"/>
              <w:left w:val="nil"/>
              <w:bottom w:val="nil"/>
              <w:right w:val="nil"/>
            </w:tcBorders>
            <w:shd w:val="clear" w:color="auto" w:fill="auto"/>
            <w:noWrap/>
            <w:vAlign w:val="bottom"/>
            <w:hideMark/>
          </w:tcPr>
          <w:p w14:paraId="511B1D4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w:t>
            </w:r>
          </w:p>
        </w:tc>
        <w:tc>
          <w:tcPr>
            <w:tcW w:w="850" w:type="dxa"/>
            <w:tcBorders>
              <w:top w:val="nil"/>
              <w:left w:val="single" w:sz="4" w:space="0" w:color="auto"/>
              <w:bottom w:val="nil"/>
              <w:right w:val="nil"/>
            </w:tcBorders>
            <w:shd w:val="clear" w:color="auto" w:fill="auto"/>
            <w:noWrap/>
            <w:vAlign w:val="bottom"/>
            <w:hideMark/>
          </w:tcPr>
          <w:p w14:paraId="183FA0B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w:t>
            </w:r>
          </w:p>
        </w:tc>
        <w:tc>
          <w:tcPr>
            <w:tcW w:w="666" w:type="dxa"/>
            <w:tcBorders>
              <w:top w:val="nil"/>
              <w:left w:val="nil"/>
              <w:bottom w:val="nil"/>
              <w:right w:val="nil"/>
            </w:tcBorders>
            <w:shd w:val="clear" w:color="auto" w:fill="auto"/>
            <w:noWrap/>
            <w:vAlign w:val="bottom"/>
            <w:hideMark/>
          </w:tcPr>
          <w:p w14:paraId="5C0453A2"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318%</w:t>
            </w:r>
          </w:p>
        </w:tc>
        <w:tc>
          <w:tcPr>
            <w:tcW w:w="752" w:type="dxa"/>
            <w:tcBorders>
              <w:top w:val="nil"/>
              <w:left w:val="nil"/>
              <w:bottom w:val="nil"/>
              <w:right w:val="nil"/>
            </w:tcBorders>
            <w:shd w:val="clear" w:color="auto" w:fill="auto"/>
            <w:noWrap/>
            <w:vAlign w:val="bottom"/>
            <w:hideMark/>
          </w:tcPr>
          <w:p w14:paraId="2D094392"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-41%</w:t>
            </w:r>
          </w:p>
        </w:tc>
        <w:tc>
          <w:tcPr>
            <w:tcW w:w="709" w:type="dxa"/>
            <w:tcBorders>
              <w:top w:val="nil"/>
              <w:left w:val="single" w:sz="4" w:space="0" w:color="auto"/>
              <w:bottom w:val="nil"/>
              <w:right w:val="nil"/>
            </w:tcBorders>
            <w:shd w:val="clear" w:color="auto" w:fill="auto"/>
            <w:noWrap/>
            <w:vAlign w:val="bottom"/>
            <w:hideMark/>
          </w:tcPr>
          <w:p w14:paraId="57720A1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406</w:t>
            </w:r>
          </w:p>
        </w:tc>
        <w:tc>
          <w:tcPr>
            <w:tcW w:w="762" w:type="dxa"/>
            <w:tcBorders>
              <w:top w:val="nil"/>
              <w:left w:val="nil"/>
              <w:bottom w:val="nil"/>
              <w:right w:val="nil"/>
            </w:tcBorders>
            <w:shd w:val="clear" w:color="auto" w:fill="auto"/>
            <w:noWrap/>
            <w:vAlign w:val="bottom"/>
            <w:hideMark/>
          </w:tcPr>
          <w:p w14:paraId="4CF9C3DC"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-34%</w:t>
            </w:r>
          </w:p>
        </w:tc>
      </w:tr>
      <w:tr w:rsidR="0064654E" w:rsidRPr="0064654E" w14:paraId="4556B095" w14:textId="77777777" w:rsidTr="0064654E">
        <w:trPr>
          <w:trHeight w:val="290"/>
        </w:trPr>
        <w:tc>
          <w:tcPr>
            <w:tcW w:w="1418" w:type="dxa"/>
            <w:tcBorders>
              <w:top w:val="nil"/>
              <w:left w:val="nil"/>
              <w:bottom w:val="nil"/>
              <w:right w:val="nil"/>
            </w:tcBorders>
            <w:shd w:val="clear" w:color="auto" w:fill="auto"/>
            <w:noWrap/>
            <w:vAlign w:val="bottom"/>
            <w:hideMark/>
          </w:tcPr>
          <w:p w14:paraId="1AD1C7E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佛山</w:t>
            </w:r>
          </w:p>
        </w:tc>
        <w:tc>
          <w:tcPr>
            <w:tcW w:w="936" w:type="dxa"/>
            <w:tcBorders>
              <w:top w:val="nil"/>
              <w:left w:val="single" w:sz="4" w:space="0" w:color="auto"/>
              <w:bottom w:val="nil"/>
              <w:right w:val="nil"/>
            </w:tcBorders>
            <w:shd w:val="clear" w:color="auto" w:fill="auto"/>
            <w:noWrap/>
            <w:vAlign w:val="bottom"/>
            <w:hideMark/>
          </w:tcPr>
          <w:p w14:paraId="7CEEF003"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67,517</w:t>
            </w:r>
          </w:p>
        </w:tc>
        <w:tc>
          <w:tcPr>
            <w:tcW w:w="765" w:type="dxa"/>
            <w:tcBorders>
              <w:top w:val="nil"/>
              <w:left w:val="nil"/>
              <w:bottom w:val="nil"/>
              <w:right w:val="nil"/>
            </w:tcBorders>
            <w:shd w:val="clear" w:color="auto" w:fill="auto"/>
            <w:noWrap/>
            <w:vAlign w:val="bottom"/>
            <w:hideMark/>
          </w:tcPr>
          <w:p w14:paraId="757A9008"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w:t>
            </w:r>
          </w:p>
        </w:tc>
        <w:tc>
          <w:tcPr>
            <w:tcW w:w="709" w:type="dxa"/>
            <w:tcBorders>
              <w:top w:val="nil"/>
              <w:left w:val="nil"/>
              <w:bottom w:val="nil"/>
              <w:right w:val="nil"/>
            </w:tcBorders>
            <w:shd w:val="clear" w:color="auto" w:fill="auto"/>
            <w:noWrap/>
            <w:vAlign w:val="bottom"/>
            <w:hideMark/>
          </w:tcPr>
          <w:p w14:paraId="79F4874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-48%</w:t>
            </w:r>
          </w:p>
        </w:tc>
        <w:tc>
          <w:tcPr>
            <w:tcW w:w="708" w:type="dxa"/>
            <w:tcBorders>
              <w:top w:val="nil"/>
              <w:left w:val="single" w:sz="4" w:space="0" w:color="auto"/>
              <w:bottom w:val="nil"/>
              <w:right w:val="nil"/>
            </w:tcBorders>
            <w:shd w:val="clear" w:color="auto" w:fill="auto"/>
            <w:noWrap/>
            <w:vAlign w:val="bottom"/>
            <w:hideMark/>
          </w:tcPr>
          <w:p w14:paraId="34F793A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292</w:t>
            </w:r>
          </w:p>
        </w:tc>
        <w:tc>
          <w:tcPr>
            <w:tcW w:w="756" w:type="dxa"/>
            <w:tcBorders>
              <w:top w:val="nil"/>
              <w:left w:val="nil"/>
              <w:bottom w:val="nil"/>
              <w:right w:val="nil"/>
            </w:tcBorders>
            <w:shd w:val="clear" w:color="auto" w:fill="auto"/>
            <w:noWrap/>
            <w:vAlign w:val="bottom"/>
            <w:hideMark/>
          </w:tcPr>
          <w:p w14:paraId="18E933A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148%</w:t>
            </w:r>
          </w:p>
        </w:tc>
        <w:tc>
          <w:tcPr>
            <w:tcW w:w="662" w:type="dxa"/>
            <w:tcBorders>
              <w:top w:val="nil"/>
              <w:left w:val="nil"/>
              <w:bottom w:val="nil"/>
              <w:right w:val="nil"/>
            </w:tcBorders>
            <w:shd w:val="clear" w:color="auto" w:fill="auto"/>
            <w:noWrap/>
            <w:vAlign w:val="bottom"/>
            <w:hideMark/>
          </w:tcPr>
          <w:p w14:paraId="45708043"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-48%</w:t>
            </w:r>
          </w:p>
        </w:tc>
        <w:tc>
          <w:tcPr>
            <w:tcW w:w="850" w:type="dxa"/>
            <w:tcBorders>
              <w:top w:val="nil"/>
              <w:left w:val="single" w:sz="4" w:space="0" w:color="auto"/>
              <w:bottom w:val="nil"/>
              <w:right w:val="nil"/>
            </w:tcBorders>
            <w:shd w:val="clear" w:color="auto" w:fill="auto"/>
            <w:noWrap/>
            <w:vAlign w:val="bottom"/>
            <w:hideMark/>
          </w:tcPr>
          <w:p w14:paraId="07F57351"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37</w:t>
            </w:r>
          </w:p>
        </w:tc>
        <w:tc>
          <w:tcPr>
            <w:tcW w:w="666" w:type="dxa"/>
            <w:tcBorders>
              <w:top w:val="nil"/>
              <w:left w:val="nil"/>
              <w:bottom w:val="nil"/>
              <w:right w:val="nil"/>
            </w:tcBorders>
            <w:shd w:val="clear" w:color="auto" w:fill="auto"/>
            <w:noWrap/>
            <w:vAlign w:val="bottom"/>
            <w:hideMark/>
          </w:tcPr>
          <w:p w14:paraId="6E55B042"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27%</w:t>
            </w:r>
          </w:p>
        </w:tc>
        <w:tc>
          <w:tcPr>
            <w:tcW w:w="752" w:type="dxa"/>
            <w:tcBorders>
              <w:top w:val="nil"/>
              <w:left w:val="nil"/>
              <w:bottom w:val="nil"/>
              <w:right w:val="nil"/>
            </w:tcBorders>
            <w:shd w:val="clear" w:color="auto" w:fill="auto"/>
            <w:noWrap/>
            <w:vAlign w:val="bottom"/>
            <w:hideMark/>
          </w:tcPr>
          <w:p w14:paraId="6857B8E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-53%</w:t>
            </w:r>
          </w:p>
        </w:tc>
        <w:tc>
          <w:tcPr>
            <w:tcW w:w="709" w:type="dxa"/>
            <w:tcBorders>
              <w:top w:val="nil"/>
              <w:left w:val="single" w:sz="4" w:space="0" w:color="auto"/>
              <w:bottom w:val="nil"/>
              <w:right w:val="nil"/>
            </w:tcBorders>
            <w:shd w:val="clear" w:color="auto" w:fill="auto"/>
            <w:noWrap/>
            <w:vAlign w:val="bottom"/>
            <w:hideMark/>
          </w:tcPr>
          <w:p w14:paraId="085D698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773</w:t>
            </w:r>
          </w:p>
        </w:tc>
        <w:tc>
          <w:tcPr>
            <w:tcW w:w="762" w:type="dxa"/>
            <w:tcBorders>
              <w:top w:val="nil"/>
              <w:left w:val="nil"/>
              <w:bottom w:val="nil"/>
              <w:right w:val="nil"/>
            </w:tcBorders>
            <w:shd w:val="clear" w:color="auto" w:fill="auto"/>
            <w:noWrap/>
            <w:vAlign w:val="bottom"/>
            <w:hideMark/>
          </w:tcPr>
          <w:p w14:paraId="02A66AA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-47%</w:t>
            </w:r>
          </w:p>
        </w:tc>
      </w:tr>
      <w:tr w:rsidR="0064654E" w:rsidRPr="0064654E" w14:paraId="0F9281D2" w14:textId="77777777" w:rsidTr="0064654E">
        <w:trPr>
          <w:trHeight w:val="290"/>
        </w:trPr>
        <w:tc>
          <w:tcPr>
            <w:tcW w:w="1418" w:type="dxa"/>
            <w:tcBorders>
              <w:top w:val="nil"/>
              <w:left w:val="nil"/>
              <w:bottom w:val="nil"/>
              <w:right w:val="nil"/>
            </w:tcBorders>
            <w:shd w:val="clear" w:color="auto" w:fill="auto"/>
            <w:noWrap/>
            <w:vAlign w:val="bottom"/>
            <w:hideMark/>
          </w:tcPr>
          <w:p w14:paraId="29C12025"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金华</w:t>
            </w:r>
          </w:p>
        </w:tc>
        <w:tc>
          <w:tcPr>
            <w:tcW w:w="936" w:type="dxa"/>
            <w:tcBorders>
              <w:top w:val="nil"/>
              <w:left w:val="single" w:sz="4" w:space="0" w:color="auto"/>
              <w:bottom w:val="nil"/>
              <w:right w:val="nil"/>
            </w:tcBorders>
            <w:shd w:val="clear" w:color="auto" w:fill="auto"/>
            <w:noWrap/>
            <w:vAlign w:val="bottom"/>
            <w:hideMark/>
          </w:tcPr>
          <w:p w14:paraId="70FAF804"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25,596</w:t>
            </w:r>
          </w:p>
        </w:tc>
        <w:tc>
          <w:tcPr>
            <w:tcW w:w="765" w:type="dxa"/>
            <w:tcBorders>
              <w:top w:val="nil"/>
              <w:left w:val="nil"/>
              <w:bottom w:val="nil"/>
              <w:right w:val="nil"/>
            </w:tcBorders>
            <w:shd w:val="clear" w:color="auto" w:fill="auto"/>
            <w:noWrap/>
            <w:vAlign w:val="bottom"/>
            <w:hideMark/>
          </w:tcPr>
          <w:p w14:paraId="6709A3B7"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-15%</w:t>
            </w:r>
          </w:p>
        </w:tc>
        <w:tc>
          <w:tcPr>
            <w:tcW w:w="709" w:type="dxa"/>
            <w:tcBorders>
              <w:top w:val="nil"/>
              <w:left w:val="nil"/>
              <w:bottom w:val="nil"/>
              <w:right w:val="nil"/>
            </w:tcBorders>
            <w:shd w:val="clear" w:color="auto" w:fill="auto"/>
            <w:noWrap/>
            <w:vAlign w:val="bottom"/>
            <w:hideMark/>
          </w:tcPr>
          <w:p w14:paraId="77DAA3D4"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-32%</w:t>
            </w:r>
          </w:p>
        </w:tc>
        <w:tc>
          <w:tcPr>
            <w:tcW w:w="708" w:type="dxa"/>
            <w:tcBorders>
              <w:top w:val="nil"/>
              <w:left w:val="single" w:sz="4" w:space="0" w:color="auto"/>
              <w:bottom w:val="nil"/>
              <w:right w:val="nil"/>
            </w:tcBorders>
            <w:shd w:val="clear" w:color="auto" w:fill="auto"/>
            <w:noWrap/>
            <w:vAlign w:val="bottom"/>
            <w:hideMark/>
          </w:tcPr>
          <w:p w14:paraId="19CC01F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110</w:t>
            </w:r>
          </w:p>
        </w:tc>
        <w:tc>
          <w:tcPr>
            <w:tcW w:w="756" w:type="dxa"/>
            <w:tcBorders>
              <w:top w:val="nil"/>
              <w:left w:val="nil"/>
              <w:bottom w:val="nil"/>
              <w:right w:val="nil"/>
            </w:tcBorders>
            <w:shd w:val="clear" w:color="auto" w:fill="auto"/>
            <w:noWrap/>
            <w:vAlign w:val="bottom"/>
            <w:hideMark/>
          </w:tcPr>
          <w:p w14:paraId="4275180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266%</w:t>
            </w:r>
          </w:p>
        </w:tc>
        <w:tc>
          <w:tcPr>
            <w:tcW w:w="662" w:type="dxa"/>
            <w:tcBorders>
              <w:top w:val="nil"/>
              <w:left w:val="nil"/>
              <w:bottom w:val="nil"/>
              <w:right w:val="nil"/>
            </w:tcBorders>
            <w:shd w:val="clear" w:color="auto" w:fill="auto"/>
            <w:noWrap/>
            <w:vAlign w:val="bottom"/>
            <w:hideMark/>
          </w:tcPr>
          <w:p w14:paraId="2128C66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-21%</w:t>
            </w:r>
          </w:p>
        </w:tc>
        <w:tc>
          <w:tcPr>
            <w:tcW w:w="850" w:type="dxa"/>
            <w:tcBorders>
              <w:top w:val="nil"/>
              <w:left w:val="single" w:sz="4" w:space="0" w:color="auto"/>
              <w:bottom w:val="nil"/>
              <w:right w:val="nil"/>
            </w:tcBorders>
            <w:shd w:val="clear" w:color="auto" w:fill="auto"/>
            <w:noWrap/>
            <w:vAlign w:val="bottom"/>
            <w:hideMark/>
          </w:tcPr>
          <w:p w14:paraId="3451084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15</w:t>
            </w:r>
          </w:p>
        </w:tc>
        <w:tc>
          <w:tcPr>
            <w:tcW w:w="666" w:type="dxa"/>
            <w:tcBorders>
              <w:top w:val="nil"/>
              <w:left w:val="nil"/>
              <w:bottom w:val="nil"/>
              <w:right w:val="nil"/>
            </w:tcBorders>
            <w:shd w:val="clear" w:color="auto" w:fill="auto"/>
            <w:noWrap/>
            <w:vAlign w:val="bottom"/>
            <w:hideMark/>
          </w:tcPr>
          <w:p w14:paraId="23B887D5"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59%</w:t>
            </w:r>
          </w:p>
        </w:tc>
        <w:tc>
          <w:tcPr>
            <w:tcW w:w="752" w:type="dxa"/>
            <w:tcBorders>
              <w:top w:val="nil"/>
              <w:left w:val="nil"/>
              <w:bottom w:val="nil"/>
              <w:right w:val="nil"/>
            </w:tcBorders>
            <w:shd w:val="clear" w:color="auto" w:fill="auto"/>
            <w:noWrap/>
            <w:vAlign w:val="bottom"/>
            <w:hideMark/>
          </w:tcPr>
          <w:p w14:paraId="793FB4A4"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-37%</w:t>
            </w:r>
          </w:p>
        </w:tc>
        <w:tc>
          <w:tcPr>
            <w:tcW w:w="709" w:type="dxa"/>
            <w:tcBorders>
              <w:top w:val="nil"/>
              <w:left w:val="single" w:sz="4" w:space="0" w:color="auto"/>
              <w:bottom w:val="nil"/>
              <w:right w:val="nil"/>
            </w:tcBorders>
            <w:shd w:val="clear" w:color="auto" w:fill="auto"/>
            <w:noWrap/>
            <w:vAlign w:val="bottom"/>
            <w:hideMark/>
          </w:tcPr>
          <w:p w14:paraId="1C01F59C"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272</w:t>
            </w:r>
          </w:p>
        </w:tc>
        <w:tc>
          <w:tcPr>
            <w:tcW w:w="762" w:type="dxa"/>
            <w:tcBorders>
              <w:top w:val="nil"/>
              <w:left w:val="nil"/>
              <w:bottom w:val="nil"/>
              <w:right w:val="nil"/>
            </w:tcBorders>
            <w:shd w:val="clear" w:color="auto" w:fill="auto"/>
            <w:noWrap/>
            <w:vAlign w:val="bottom"/>
            <w:hideMark/>
          </w:tcPr>
          <w:p w14:paraId="1238293B"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15%</w:t>
            </w:r>
          </w:p>
        </w:tc>
      </w:tr>
      <w:tr w:rsidR="0064654E" w:rsidRPr="0064654E" w14:paraId="5DEA3C1A" w14:textId="77777777" w:rsidTr="0064654E">
        <w:trPr>
          <w:trHeight w:val="290"/>
        </w:trPr>
        <w:tc>
          <w:tcPr>
            <w:tcW w:w="1418" w:type="dxa"/>
            <w:tcBorders>
              <w:top w:val="nil"/>
              <w:left w:val="nil"/>
              <w:bottom w:val="nil"/>
              <w:right w:val="nil"/>
            </w:tcBorders>
            <w:shd w:val="clear" w:color="auto" w:fill="auto"/>
            <w:noWrap/>
            <w:vAlign w:val="bottom"/>
            <w:hideMark/>
          </w:tcPr>
          <w:p w14:paraId="028B1069"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ascii="楷体" w:hAnsi="楷体" w:cs="Times New Roman" w:hint="eastAsia"/>
                <w:color w:val="000000"/>
                <w:sz w:val="18"/>
                <w:szCs w:val="18"/>
              </w:rPr>
              <w:t>江门</w:t>
            </w:r>
          </w:p>
        </w:tc>
        <w:tc>
          <w:tcPr>
            <w:tcW w:w="936" w:type="dxa"/>
            <w:tcBorders>
              <w:top w:val="nil"/>
              <w:left w:val="single" w:sz="4" w:space="0" w:color="auto"/>
              <w:bottom w:val="nil"/>
              <w:right w:val="nil"/>
            </w:tcBorders>
            <w:shd w:val="clear" w:color="auto" w:fill="auto"/>
            <w:noWrap/>
            <w:vAlign w:val="bottom"/>
            <w:hideMark/>
          </w:tcPr>
          <w:p w14:paraId="2C014BA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14,375</w:t>
            </w:r>
          </w:p>
        </w:tc>
        <w:tc>
          <w:tcPr>
            <w:tcW w:w="765" w:type="dxa"/>
            <w:tcBorders>
              <w:top w:val="nil"/>
              <w:left w:val="nil"/>
              <w:bottom w:val="nil"/>
              <w:right w:val="nil"/>
            </w:tcBorders>
            <w:shd w:val="clear" w:color="auto" w:fill="auto"/>
            <w:noWrap/>
            <w:vAlign w:val="bottom"/>
            <w:hideMark/>
          </w:tcPr>
          <w:p w14:paraId="48C1539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8%</w:t>
            </w:r>
          </w:p>
        </w:tc>
        <w:tc>
          <w:tcPr>
            <w:tcW w:w="709" w:type="dxa"/>
            <w:tcBorders>
              <w:top w:val="nil"/>
              <w:left w:val="nil"/>
              <w:bottom w:val="nil"/>
              <w:right w:val="nil"/>
            </w:tcBorders>
            <w:shd w:val="clear" w:color="auto" w:fill="auto"/>
            <w:noWrap/>
            <w:vAlign w:val="bottom"/>
            <w:hideMark/>
          </w:tcPr>
          <w:p w14:paraId="3BB1931D"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-40%</w:t>
            </w:r>
          </w:p>
        </w:tc>
        <w:tc>
          <w:tcPr>
            <w:tcW w:w="708" w:type="dxa"/>
            <w:tcBorders>
              <w:top w:val="nil"/>
              <w:left w:val="single" w:sz="4" w:space="0" w:color="auto"/>
              <w:bottom w:val="nil"/>
              <w:right w:val="nil"/>
            </w:tcBorders>
            <w:shd w:val="clear" w:color="auto" w:fill="auto"/>
            <w:noWrap/>
            <w:vAlign w:val="bottom"/>
            <w:hideMark/>
          </w:tcPr>
          <w:p w14:paraId="26659AA6"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59</w:t>
            </w:r>
          </w:p>
        </w:tc>
        <w:tc>
          <w:tcPr>
            <w:tcW w:w="756" w:type="dxa"/>
            <w:tcBorders>
              <w:top w:val="nil"/>
              <w:left w:val="nil"/>
              <w:bottom w:val="nil"/>
              <w:right w:val="nil"/>
            </w:tcBorders>
            <w:shd w:val="clear" w:color="auto" w:fill="auto"/>
            <w:noWrap/>
            <w:vAlign w:val="bottom"/>
            <w:hideMark/>
          </w:tcPr>
          <w:p w14:paraId="22EAA75A"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85%</w:t>
            </w:r>
          </w:p>
        </w:tc>
        <w:tc>
          <w:tcPr>
            <w:tcW w:w="662" w:type="dxa"/>
            <w:tcBorders>
              <w:top w:val="nil"/>
              <w:left w:val="nil"/>
              <w:bottom w:val="nil"/>
              <w:right w:val="nil"/>
            </w:tcBorders>
            <w:shd w:val="clear" w:color="auto" w:fill="auto"/>
            <w:noWrap/>
            <w:vAlign w:val="bottom"/>
            <w:hideMark/>
          </w:tcPr>
          <w:p w14:paraId="1F22E164"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-33%</w:t>
            </w:r>
          </w:p>
        </w:tc>
        <w:tc>
          <w:tcPr>
            <w:tcW w:w="850" w:type="dxa"/>
            <w:tcBorders>
              <w:top w:val="nil"/>
              <w:left w:val="single" w:sz="4" w:space="0" w:color="auto"/>
              <w:bottom w:val="nil"/>
              <w:right w:val="nil"/>
            </w:tcBorders>
            <w:shd w:val="clear" w:color="auto" w:fill="auto"/>
            <w:noWrap/>
            <w:vAlign w:val="bottom"/>
            <w:hideMark/>
          </w:tcPr>
          <w:p w14:paraId="182D8DED"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8</w:t>
            </w:r>
          </w:p>
        </w:tc>
        <w:tc>
          <w:tcPr>
            <w:tcW w:w="666" w:type="dxa"/>
            <w:tcBorders>
              <w:top w:val="nil"/>
              <w:left w:val="nil"/>
              <w:bottom w:val="nil"/>
              <w:right w:val="nil"/>
            </w:tcBorders>
            <w:shd w:val="clear" w:color="auto" w:fill="auto"/>
            <w:noWrap/>
            <w:vAlign w:val="bottom"/>
            <w:hideMark/>
          </w:tcPr>
          <w:p w14:paraId="26AA7359"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0%</w:t>
            </w:r>
          </w:p>
        </w:tc>
        <w:tc>
          <w:tcPr>
            <w:tcW w:w="752" w:type="dxa"/>
            <w:tcBorders>
              <w:top w:val="nil"/>
              <w:left w:val="nil"/>
              <w:bottom w:val="nil"/>
              <w:right w:val="nil"/>
            </w:tcBorders>
            <w:shd w:val="clear" w:color="auto" w:fill="auto"/>
            <w:noWrap/>
            <w:vAlign w:val="bottom"/>
            <w:hideMark/>
          </w:tcPr>
          <w:p w14:paraId="7417E449"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-41%</w:t>
            </w:r>
          </w:p>
        </w:tc>
        <w:tc>
          <w:tcPr>
            <w:tcW w:w="709" w:type="dxa"/>
            <w:tcBorders>
              <w:top w:val="nil"/>
              <w:left w:val="single" w:sz="4" w:space="0" w:color="auto"/>
              <w:bottom w:val="nil"/>
              <w:right w:val="nil"/>
            </w:tcBorders>
            <w:shd w:val="clear" w:color="auto" w:fill="auto"/>
            <w:noWrap/>
            <w:vAlign w:val="bottom"/>
            <w:hideMark/>
          </w:tcPr>
          <w:p w14:paraId="539DC53F" w14:textId="77777777" w:rsidR="0064654E" w:rsidRPr="0064654E" w:rsidRDefault="0064654E" w:rsidP="0064654E">
            <w:pPr>
              <w:spacing w:after="0" w:line="240" w:lineRule="auto"/>
              <w:ind w:right="0"/>
              <w:jc w:val="center"/>
              <w:outlineLvl w:val="0"/>
              <w:rPr>
                <w:rFonts w:eastAsia="宋体" w:cs="Times New Roman"/>
                <w:color w:val="000000"/>
                <w:sz w:val="18"/>
                <w:szCs w:val="18"/>
              </w:rPr>
            </w:pPr>
            <w:r w:rsidRPr="0064654E">
              <w:rPr>
                <w:rFonts w:eastAsia="宋体" w:cs="Times New Roman"/>
                <w:color w:val="000000"/>
                <w:sz w:val="18"/>
                <w:szCs w:val="18"/>
              </w:rPr>
              <w:t>104</w:t>
            </w:r>
          </w:p>
        </w:tc>
        <w:tc>
          <w:tcPr>
            <w:tcW w:w="762" w:type="dxa"/>
            <w:tcBorders>
              <w:top w:val="nil"/>
              <w:left w:val="nil"/>
              <w:bottom w:val="nil"/>
              <w:right w:val="nil"/>
            </w:tcBorders>
            <w:shd w:val="clear" w:color="auto" w:fill="auto"/>
            <w:noWrap/>
            <w:vAlign w:val="bottom"/>
            <w:hideMark/>
          </w:tcPr>
          <w:p w14:paraId="66A4DE1F" w14:textId="77777777" w:rsidR="0064654E" w:rsidRPr="0064654E" w:rsidRDefault="0064654E" w:rsidP="0064654E">
            <w:pPr>
              <w:spacing w:after="0" w:line="240" w:lineRule="auto"/>
              <w:ind w:right="0"/>
              <w:jc w:val="center"/>
              <w:outlineLvl w:val="0"/>
              <w:rPr>
                <w:rFonts w:eastAsia="宋体" w:cs="Times New Roman"/>
                <w:b/>
                <w:bCs/>
                <w:color w:val="FF0000"/>
                <w:sz w:val="18"/>
                <w:szCs w:val="18"/>
              </w:rPr>
            </w:pPr>
            <w:r w:rsidRPr="0064654E">
              <w:rPr>
                <w:rFonts w:eastAsia="宋体" w:cs="Times New Roman"/>
                <w:b/>
                <w:bCs/>
                <w:color w:val="FF0000"/>
                <w:sz w:val="18"/>
                <w:szCs w:val="18"/>
              </w:rPr>
              <w:t>-53%</w:t>
            </w:r>
          </w:p>
        </w:tc>
      </w:tr>
      <w:tr w:rsidR="0064654E" w:rsidRPr="0064654E" w14:paraId="67A38DCC" w14:textId="77777777" w:rsidTr="0064654E">
        <w:trPr>
          <w:trHeight w:val="290"/>
        </w:trPr>
        <w:tc>
          <w:tcPr>
            <w:tcW w:w="1418" w:type="dxa"/>
            <w:tcBorders>
              <w:top w:val="nil"/>
              <w:left w:val="nil"/>
              <w:bottom w:val="nil"/>
              <w:right w:val="nil"/>
            </w:tcBorders>
            <w:shd w:val="clear" w:color="000000" w:fill="E6BBB9"/>
            <w:noWrap/>
            <w:vAlign w:val="bottom"/>
            <w:hideMark/>
          </w:tcPr>
          <w:p w14:paraId="7E10A069"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总计</w:t>
            </w:r>
          </w:p>
        </w:tc>
        <w:tc>
          <w:tcPr>
            <w:tcW w:w="936" w:type="dxa"/>
            <w:tcBorders>
              <w:top w:val="nil"/>
              <w:left w:val="single" w:sz="4" w:space="0" w:color="auto"/>
              <w:bottom w:val="nil"/>
              <w:right w:val="nil"/>
            </w:tcBorders>
            <w:shd w:val="clear" w:color="000000" w:fill="E6BBB9"/>
            <w:noWrap/>
            <w:vAlign w:val="bottom"/>
            <w:hideMark/>
          </w:tcPr>
          <w:p w14:paraId="5EE6DCB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1,263,344</w:t>
            </w:r>
          </w:p>
        </w:tc>
        <w:tc>
          <w:tcPr>
            <w:tcW w:w="765" w:type="dxa"/>
            <w:tcBorders>
              <w:top w:val="nil"/>
              <w:left w:val="nil"/>
              <w:bottom w:val="nil"/>
              <w:right w:val="nil"/>
            </w:tcBorders>
            <w:shd w:val="clear" w:color="000000" w:fill="E6BBB9"/>
            <w:noWrap/>
            <w:vAlign w:val="bottom"/>
            <w:hideMark/>
          </w:tcPr>
          <w:p w14:paraId="59AE735B"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w:t>
            </w:r>
          </w:p>
        </w:tc>
        <w:tc>
          <w:tcPr>
            <w:tcW w:w="709" w:type="dxa"/>
            <w:tcBorders>
              <w:top w:val="nil"/>
              <w:left w:val="nil"/>
              <w:bottom w:val="nil"/>
              <w:right w:val="nil"/>
            </w:tcBorders>
            <w:shd w:val="clear" w:color="000000" w:fill="E6BBB9"/>
            <w:noWrap/>
            <w:vAlign w:val="bottom"/>
            <w:hideMark/>
          </w:tcPr>
          <w:p w14:paraId="148C553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-30%</w:t>
            </w:r>
          </w:p>
        </w:tc>
        <w:tc>
          <w:tcPr>
            <w:tcW w:w="708" w:type="dxa"/>
            <w:tcBorders>
              <w:top w:val="nil"/>
              <w:left w:val="single" w:sz="4" w:space="0" w:color="auto"/>
              <w:bottom w:val="nil"/>
              <w:right w:val="nil"/>
            </w:tcBorders>
            <w:shd w:val="clear" w:color="000000" w:fill="E6BBB9"/>
            <w:noWrap/>
            <w:vAlign w:val="bottom"/>
            <w:hideMark/>
          </w:tcPr>
          <w:p w14:paraId="66ADA25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5,177</w:t>
            </w:r>
          </w:p>
        </w:tc>
        <w:tc>
          <w:tcPr>
            <w:tcW w:w="756" w:type="dxa"/>
            <w:tcBorders>
              <w:top w:val="nil"/>
              <w:left w:val="nil"/>
              <w:bottom w:val="nil"/>
              <w:right w:val="nil"/>
            </w:tcBorders>
            <w:shd w:val="clear" w:color="000000" w:fill="E6BBB9"/>
            <w:noWrap/>
            <w:vAlign w:val="bottom"/>
            <w:hideMark/>
          </w:tcPr>
          <w:p w14:paraId="2E3A3734"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245%</w:t>
            </w:r>
          </w:p>
        </w:tc>
        <w:tc>
          <w:tcPr>
            <w:tcW w:w="662" w:type="dxa"/>
            <w:tcBorders>
              <w:top w:val="nil"/>
              <w:left w:val="nil"/>
              <w:bottom w:val="nil"/>
              <w:right w:val="nil"/>
            </w:tcBorders>
            <w:shd w:val="clear" w:color="000000" w:fill="E6BBB9"/>
            <w:noWrap/>
            <w:vAlign w:val="bottom"/>
            <w:hideMark/>
          </w:tcPr>
          <w:p w14:paraId="0A649DEF"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-27%</w:t>
            </w:r>
          </w:p>
        </w:tc>
        <w:tc>
          <w:tcPr>
            <w:tcW w:w="850" w:type="dxa"/>
            <w:tcBorders>
              <w:top w:val="nil"/>
              <w:left w:val="single" w:sz="4" w:space="0" w:color="auto"/>
              <w:bottom w:val="nil"/>
              <w:right w:val="nil"/>
            </w:tcBorders>
            <w:shd w:val="clear" w:color="000000" w:fill="E6BBB9"/>
            <w:noWrap/>
            <w:vAlign w:val="bottom"/>
            <w:hideMark/>
          </w:tcPr>
          <w:p w14:paraId="510B9DB5"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710</w:t>
            </w:r>
          </w:p>
        </w:tc>
        <w:tc>
          <w:tcPr>
            <w:tcW w:w="666" w:type="dxa"/>
            <w:tcBorders>
              <w:top w:val="nil"/>
              <w:left w:val="nil"/>
              <w:bottom w:val="nil"/>
              <w:right w:val="nil"/>
            </w:tcBorders>
            <w:shd w:val="clear" w:color="000000" w:fill="E6BBB9"/>
            <w:noWrap/>
            <w:vAlign w:val="bottom"/>
            <w:hideMark/>
          </w:tcPr>
          <w:p w14:paraId="45AE185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52%</w:t>
            </w:r>
          </w:p>
        </w:tc>
        <w:tc>
          <w:tcPr>
            <w:tcW w:w="752" w:type="dxa"/>
            <w:tcBorders>
              <w:top w:val="nil"/>
              <w:left w:val="nil"/>
              <w:bottom w:val="nil"/>
              <w:right w:val="nil"/>
            </w:tcBorders>
            <w:shd w:val="clear" w:color="000000" w:fill="E6BBB9"/>
            <w:noWrap/>
            <w:vAlign w:val="bottom"/>
            <w:hideMark/>
          </w:tcPr>
          <w:p w14:paraId="42E7ED6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-31%</w:t>
            </w:r>
          </w:p>
        </w:tc>
        <w:tc>
          <w:tcPr>
            <w:tcW w:w="709" w:type="dxa"/>
            <w:tcBorders>
              <w:top w:val="nil"/>
              <w:left w:val="single" w:sz="4" w:space="0" w:color="auto"/>
              <w:bottom w:val="nil"/>
              <w:right w:val="nil"/>
            </w:tcBorders>
            <w:shd w:val="clear" w:color="000000" w:fill="E6BBB9"/>
            <w:noWrap/>
            <w:vAlign w:val="bottom"/>
            <w:hideMark/>
          </w:tcPr>
          <w:p w14:paraId="568AC28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11,707</w:t>
            </w:r>
          </w:p>
        </w:tc>
        <w:tc>
          <w:tcPr>
            <w:tcW w:w="762" w:type="dxa"/>
            <w:tcBorders>
              <w:top w:val="nil"/>
              <w:left w:val="nil"/>
              <w:bottom w:val="nil"/>
              <w:right w:val="nil"/>
            </w:tcBorders>
            <w:shd w:val="clear" w:color="000000" w:fill="E6BBB9"/>
            <w:noWrap/>
            <w:vAlign w:val="bottom"/>
            <w:hideMark/>
          </w:tcPr>
          <w:p w14:paraId="2454E36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-27%</w:t>
            </w:r>
          </w:p>
        </w:tc>
      </w:tr>
      <w:tr w:rsidR="0064654E" w:rsidRPr="0064654E" w14:paraId="3F0685B6" w14:textId="77777777" w:rsidTr="0064654E">
        <w:trPr>
          <w:trHeight w:val="290"/>
        </w:trPr>
        <w:tc>
          <w:tcPr>
            <w:tcW w:w="1418" w:type="dxa"/>
            <w:tcBorders>
              <w:top w:val="nil"/>
              <w:left w:val="nil"/>
              <w:bottom w:val="nil"/>
              <w:right w:val="nil"/>
            </w:tcBorders>
            <w:shd w:val="clear" w:color="000000" w:fill="D9D9D9"/>
            <w:noWrap/>
            <w:vAlign w:val="bottom"/>
            <w:hideMark/>
          </w:tcPr>
          <w:p w14:paraId="0883C69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上升城市数目</w:t>
            </w:r>
          </w:p>
        </w:tc>
        <w:tc>
          <w:tcPr>
            <w:tcW w:w="936" w:type="dxa"/>
            <w:tcBorders>
              <w:top w:val="nil"/>
              <w:left w:val="single" w:sz="4" w:space="0" w:color="auto"/>
              <w:bottom w:val="nil"/>
              <w:right w:val="nil"/>
            </w:tcBorders>
            <w:shd w:val="clear" w:color="000000" w:fill="D9D9D9"/>
            <w:noWrap/>
            <w:vAlign w:val="bottom"/>
            <w:hideMark/>
          </w:tcPr>
          <w:p w14:paraId="426675E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65" w:type="dxa"/>
            <w:tcBorders>
              <w:top w:val="nil"/>
              <w:left w:val="nil"/>
              <w:bottom w:val="nil"/>
              <w:right w:val="nil"/>
            </w:tcBorders>
            <w:shd w:val="clear" w:color="000000" w:fill="D9D9D9"/>
            <w:noWrap/>
            <w:vAlign w:val="bottom"/>
            <w:hideMark/>
          </w:tcPr>
          <w:p w14:paraId="6FC52F9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8</w:t>
            </w:r>
          </w:p>
        </w:tc>
        <w:tc>
          <w:tcPr>
            <w:tcW w:w="709" w:type="dxa"/>
            <w:tcBorders>
              <w:top w:val="nil"/>
              <w:left w:val="nil"/>
              <w:bottom w:val="nil"/>
              <w:right w:val="nil"/>
            </w:tcBorders>
            <w:shd w:val="clear" w:color="000000" w:fill="D9D9D9"/>
            <w:noWrap/>
            <w:vAlign w:val="bottom"/>
            <w:hideMark/>
          </w:tcPr>
          <w:p w14:paraId="7ABEF76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5</w:t>
            </w:r>
          </w:p>
        </w:tc>
        <w:tc>
          <w:tcPr>
            <w:tcW w:w="708" w:type="dxa"/>
            <w:tcBorders>
              <w:top w:val="nil"/>
              <w:left w:val="single" w:sz="4" w:space="0" w:color="auto"/>
              <w:bottom w:val="nil"/>
              <w:right w:val="nil"/>
            </w:tcBorders>
            <w:shd w:val="clear" w:color="000000" w:fill="D9D9D9"/>
            <w:noWrap/>
            <w:vAlign w:val="bottom"/>
            <w:hideMark/>
          </w:tcPr>
          <w:p w14:paraId="0B257AD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56" w:type="dxa"/>
            <w:tcBorders>
              <w:top w:val="nil"/>
              <w:left w:val="nil"/>
              <w:bottom w:val="nil"/>
              <w:right w:val="nil"/>
            </w:tcBorders>
            <w:shd w:val="clear" w:color="000000" w:fill="D9D9D9"/>
            <w:noWrap/>
            <w:vAlign w:val="bottom"/>
            <w:hideMark/>
          </w:tcPr>
          <w:p w14:paraId="37E656E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15</w:t>
            </w:r>
          </w:p>
        </w:tc>
        <w:tc>
          <w:tcPr>
            <w:tcW w:w="662" w:type="dxa"/>
            <w:tcBorders>
              <w:top w:val="nil"/>
              <w:left w:val="nil"/>
              <w:bottom w:val="nil"/>
              <w:right w:val="nil"/>
            </w:tcBorders>
            <w:shd w:val="clear" w:color="000000" w:fill="D9D9D9"/>
            <w:noWrap/>
            <w:vAlign w:val="bottom"/>
            <w:hideMark/>
          </w:tcPr>
          <w:p w14:paraId="1AA0E31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4</w:t>
            </w:r>
          </w:p>
        </w:tc>
        <w:tc>
          <w:tcPr>
            <w:tcW w:w="850" w:type="dxa"/>
            <w:tcBorders>
              <w:top w:val="nil"/>
              <w:left w:val="single" w:sz="4" w:space="0" w:color="auto"/>
              <w:bottom w:val="nil"/>
              <w:right w:val="nil"/>
            </w:tcBorders>
            <w:shd w:val="clear" w:color="000000" w:fill="D9D9D9"/>
            <w:noWrap/>
            <w:vAlign w:val="bottom"/>
            <w:hideMark/>
          </w:tcPr>
          <w:p w14:paraId="2934B6E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666" w:type="dxa"/>
            <w:tcBorders>
              <w:top w:val="nil"/>
              <w:left w:val="nil"/>
              <w:bottom w:val="nil"/>
              <w:right w:val="nil"/>
            </w:tcBorders>
            <w:shd w:val="clear" w:color="000000" w:fill="D9D9D9"/>
            <w:noWrap/>
            <w:vAlign w:val="bottom"/>
            <w:hideMark/>
          </w:tcPr>
          <w:p w14:paraId="6659BC0B"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15</w:t>
            </w:r>
          </w:p>
        </w:tc>
        <w:tc>
          <w:tcPr>
            <w:tcW w:w="752" w:type="dxa"/>
            <w:tcBorders>
              <w:top w:val="nil"/>
              <w:left w:val="nil"/>
              <w:bottom w:val="nil"/>
              <w:right w:val="nil"/>
            </w:tcBorders>
            <w:shd w:val="clear" w:color="000000" w:fill="D9D9D9"/>
            <w:noWrap/>
            <w:vAlign w:val="bottom"/>
            <w:hideMark/>
          </w:tcPr>
          <w:p w14:paraId="1B8FE311"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4</w:t>
            </w:r>
          </w:p>
        </w:tc>
        <w:tc>
          <w:tcPr>
            <w:tcW w:w="709" w:type="dxa"/>
            <w:tcBorders>
              <w:top w:val="nil"/>
              <w:left w:val="single" w:sz="4" w:space="0" w:color="auto"/>
              <w:bottom w:val="nil"/>
              <w:right w:val="nil"/>
            </w:tcBorders>
            <w:shd w:val="clear" w:color="000000" w:fill="D9D9D9"/>
            <w:noWrap/>
            <w:vAlign w:val="bottom"/>
            <w:hideMark/>
          </w:tcPr>
          <w:p w14:paraId="7A06BA52"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62" w:type="dxa"/>
            <w:tcBorders>
              <w:top w:val="nil"/>
              <w:left w:val="nil"/>
              <w:bottom w:val="nil"/>
              <w:right w:val="nil"/>
            </w:tcBorders>
            <w:shd w:val="clear" w:color="000000" w:fill="D9D9D9"/>
            <w:noWrap/>
            <w:vAlign w:val="bottom"/>
            <w:hideMark/>
          </w:tcPr>
          <w:p w14:paraId="6F26D00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3</w:t>
            </w:r>
          </w:p>
        </w:tc>
      </w:tr>
      <w:tr w:rsidR="0064654E" w:rsidRPr="0064654E" w14:paraId="0AFF53ED" w14:textId="77777777" w:rsidTr="0064654E">
        <w:trPr>
          <w:trHeight w:val="290"/>
        </w:trPr>
        <w:tc>
          <w:tcPr>
            <w:tcW w:w="1418" w:type="dxa"/>
            <w:tcBorders>
              <w:top w:val="nil"/>
              <w:left w:val="nil"/>
              <w:bottom w:val="nil"/>
              <w:right w:val="nil"/>
            </w:tcBorders>
            <w:shd w:val="clear" w:color="000000" w:fill="D9D9D9"/>
            <w:noWrap/>
            <w:vAlign w:val="bottom"/>
            <w:hideMark/>
          </w:tcPr>
          <w:p w14:paraId="78447EB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ascii="楷体" w:hAnsi="楷体" w:cs="Times New Roman" w:hint="eastAsia"/>
                <w:b/>
                <w:bCs/>
                <w:color w:val="000000"/>
                <w:sz w:val="18"/>
                <w:szCs w:val="18"/>
              </w:rPr>
              <w:t>下降城市数目</w:t>
            </w:r>
          </w:p>
        </w:tc>
        <w:tc>
          <w:tcPr>
            <w:tcW w:w="936" w:type="dxa"/>
            <w:tcBorders>
              <w:top w:val="nil"/>
              <w:left w:val="single" w:sz="4" w:space="0" w:color="auto"/>
              <w:bottom w:val="nil"/>
              <w:right w:val="nil"/>
            </w:tcBorders>
            <w:shd w:val="clear" w:color="000000" w:fill="D9D9D9"/>
            <w:noWrap/>
            <w:vAlign w:val="bottom"/>
            <w:hideMark/>
          </w:tcPr>
          <w:p w14:paraId="76BF20E0"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65" w:type="dxa"/>
            <w:tcBorders>
              <w:top w:val="nil"/>
              <w:left w:val="nil"/>
              <w:bottom w:val="nil"/>
              <w:right w:val="nil"/>
            </w:tcBorders>
            <w:shd w:val="clear" w:color="000000" w:fill="D9D9D9"/>
            <w:noWrap/>
            <w:vAlign w:val="bottom"/>
            <w:hideMark/>
          </w:tcPr>
          <w:p w14:paraId="1D5D3A45"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7</w:t>
            </w:r>
          </w:p>
        </w:tc>
        <w:tc>
          <w:tcPr>
            <w:tcW w:w="709" w:type="dxa"/>
            <w:tcBorders>
              <w:top w:val="nil"/>
              <w:left w:val="nil"/>
              <w:bottom w:val="nil"/>
              <w:right w:val="nil"/>
            </w:tcBorders>
            <w:shd w:val="clear" w:color="000000" w:fill="D9D9D9"/>
            <w:noWrap/>
            <w:vAlign w:val="bottom"/>
            <w:hideMark/>
          </w:tcPr>
          <w:p w14:paraId="1C913D83"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10</w:t>
            </w:r>
          </w:p>
        </w:tc>
        <w:tc>
          <w:tcPr>
            <w:tcW w:w="708" w:type="dxa"/>
            <w:tcBorders>
              <w:top w:val="nil"/>
              <w:left w:val="single" w:sz="4" w:space="0" w:color="auto"/>
              <w:bottom w:val="nil"/>
              <w:right w:val="nil"/>
            </w:tcBorders>
            <w:shd w:val="clear" w:color="000000" w:fill="D9D9D9"/>
            <w:noWrap/>
            <w:vAlign w:val="bottom"/>
            <w:hideMark/>
          </w:tcPr>
          <w:p w14:paraId="0AF19945"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56" w:type="dxa"/>
            <w:tcBorders>
              <w:top w:val="nil"/>
              <w:left w:val="nil"/>
              <w:bottom w:val="nil"/>
              <w:right w:val="nil"/>
            </w:tcBorders>
            <w:shd w:val="clear" w:color="000000" w:fill="D9D9D9"/>
            <w:noWrap/>
            <w:vAlign w:val="bottom"/>
            <w:hideMark/>
          </w:tcPr>
          <w:p w14:paraId="719194E6"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0</w:t>
            </w:r>
          </w:p>
        </w:tc>
        <w:tc>
          <w:tcPr>
            <w:tcW w:w="662" w:type="dxa"/>
            <w:tcBorders>
              <w:top w:val="nil"/>
              <w:left w:val="nil"/>
              <w:bottom w:val="nil"/>
              <w:right w:val="nil"/>
            </w:tcBorders>
            <w:shd w:val="clear" w:color="000000" w:fill="D9D9D9"/>
            <w:noWrap/>
            <w:vAlign w:val="bottom"/>
            <w:hideMark/>
          </w:tcPr>
          <w:p w14:paraId="790A3B87"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11</w:t>
            </w:r>
          </w:p>
        </w:tc>
        <w:tc>
          <w:tcPr>
            <w:tcW w:w="850" w:type="dxa"/>
            <w:tcBorders>
              <w:top w:val="nil"/>
              <w:left w:val="single" w:sz="4" w:space="0" w:color="auto"/>
              <w:bottom w:val="nil"/>
              <w:right w:val="nil"/>
            </w:tcBorders>
            <w:shd w:val="clear" w:color="000000" w:fill="D9D9D9"/>
            <w:noWrap/>
            <w:vAlign w:val="bottom"/>
            <w:hideMark/>
          </w:tcPr>
          <w:p w14:paraId="189AB38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666" w:type="dxa"/>
            <w:tcBorders>
              <w:top w:val="nil"/>
              <w:left w:val="nil"/>
              <w:bottom w:val="nil"/>
              <w:right w:val="nil"/>
            </w:tcBorders>
            <w:shd w:val="clear" w:color="000000" w:fill="D9D9D9"/>
            <w:noWrap/>
            <w:vAlign w:val="bottom"/>
            <w:hideMark/>
          </w:tcPr>
          <w:p w14:paraId="01E6749A"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0</w:t>
            </w:r>
          </w:p>
        </w:tc>
        <w:tc>
          <w:tcPr>
            <w:tcW w:w="752" w:type="dxa"/>
            <w:tcBorders>
              <w:top w:val="nil"/>
              <w:left w:val="nil"/>
              <w:bottom w:val="nil"/>
              <w:right w:val="nil"/>
            </w:tcBorders>
            <w:shd w:val="clear" w:color="000000" w:fill="D9D9D9"/>
            <w:noWrap/>
            <w:vAlign w:val="bottom"/>
            <w:hideMark/>
          </w:tcPr>
          <w:p w14:paraId="0113E5A8"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11</w:t>
            </w:r>
          </w:p>
        </w:tc>
        <w:tc>
          <w:tcPr>
            <w:tcW w:w="709" w:type="dxa"/>
            <w:tcBorders>
              <w:top w:val="nil"/>
              <w:left w:val="single" w:sz="4" w:space="0" w:color="auto"/>
              <w:bottom w:val="nil"/>
              <w:right w:val="nil"/>
            </w:tcBorders>
            <w:shd w:val="clear" w:color="000000" w:fill="D9D9D9"/>
            <w:noWrap/>
            <w:vAlign w:val="bottom"/>
            <w:hideMark/>
          </w:tcPr>
          <w:p w14:paraId="735E09DD"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 xml:space="preserve">　</w:t>
            </w:r>
          </w:p>
        </w:tc>
        <w:tc>
          <w:tcPr>
            <w:tcW w:w="762" w:type="dxa"/>
            <w:tcBorders>
              <w:top w:val="nil"/>
              <w:left w:val="nil"/>
              <w:bottom w:val="nil"/>
              <w:right w:val="nil"/>
            </w:tcBorders>
            <w:shd w:val="clear" w:color="000000" w:fill="D9D9D9"/>
            <w:noWrap/>
            <w:vAlign w:val="bottom"/>
            <w:hideMark/>
          </w:tcPr>
          <w:p w14:paraId="79AD5E15" w14:textId="77777777" w:rsidR="0064654E" w:rsidRPr="0064654E" w:rsidRDefault="0064654E" w:rsidP="0064654E">
            <w:pPr>
              <w:spacing w:after="0" w:line="240" w:lineRule="auto"/>
              <w:ind w:right="0"/>
              <w:jc w:val="center"/>
              <w:rPr>
                <w:rFonts w:eastAsia="宋体" w:cs="Times New Roman"/>
                <w:b/>
                <w:bCs/>
                <w:color w:val="000000"/>
                <w:sz w:val="18"/>
                <w:szCs w:val="18"/>
              </w:rPr>
            </w:pPr>
            <w:r w:rsidRPr="0064654E">
              <w:rPr>
                <w:rFonts w:eastAsia="宋体" w:cs="Times New Roman"/>
                <w:b/>
                <w:bCs/>
                <w:color w:val="000000"/>
                <w:sz w:val="18"/>
                <w:szCs w:val="18"/>
              </w:rPr>
              <w:t>12</w:t>
            </w:r>
          </w:p>
        </w:tc>
      </w:tr>
    </w:tbl>
    <w:p w14:paraId="3BDCC0CB" w14:textId="368FAAA1" w:rsidR="00EF5C8A" w:rsidRPr="00EF5C8A" w:rsidRDefault="00A507E1" w:rsidP="00D521A5">
      <w:pPr>
        <w:spacing w:before="100"/>
        <w:rPr>
          <w:rFonts w:cs="Times New Roman"/>
          <w:sz w:val="18"/>
          <w:szCs w:val="18"/>
        </w:rPr>
      </w:pPr>
      <w:r>
        <w:rPr>
          <w:rFonts w:cs="Times New Roman"/>
          <w:sz w:val="18"/>
          <w:szCs w:val="18"/>
        </w:rPr>
        <w:t>数据来源</w:t>
      </w:r>
      <w:r w:rsidR="00EF5C8A" w:rsidRPr="00EF5C8A">
        <w:rPr>
          <w:rFonts w:cs="Times New Roman"/>
          <w:sz w:val="18"/>
          <w:szCs w:val="18"/>
        </w:rPr>
        <w:t>：各地房管局，中</w:t>
      </w:r>
      <w:proofErr w:type="gramStart"/>
      <w:r w:rsidR="00EF5C8A" w:rsidRPr="00EF5C8A">
        <w:rPr>
          <w:rFonts w:cs="Times New Roman"/>
          <w:sz w:val="18"/>
          <w:szCs w:val="18"/>
        </w:rPr>
        <w:t>达证券</w:t>
      </w:r>
      <w:proofErr w:type="gramEnd"/>
      <w:r w:rsidR="00EF5C8A" w:rsidRPr="00EF5C8A">
        <w:rPr>
          <w:rFonts w:cs="Times New Roman"/>
          <w:sz w:val="18"/>
          <w:szCs w:val="18"/>
        </w:rPr>
        <w:t>研究</w:t>
      </w:r>
      <w:r w:rsidR="00EF5C8A" w:rsidRPr="00EF5C8A">
        <w:rPr>
          <w:rFonts w:cs="Times New Roman" w:hint="eastAsia"/>
          <w:sz w:val="18"/>
          <w:szCs w:val="18"/>
        </w:rPr>
        <w:t>；注：数据截至</w:t>
      </w:r>
      <w:r w:rsidR="00EF5C8A" w:rsidRPr="00EF5C8A">
        <w:rPr>
          <w:rFonts w:cs="Times New Roman" w:hint="eastAsia"/>
          <w:sz w:val="18"/>
          <w:szCs w:val="18"/>
        </w:rPr>
        <w:t>2</w:t>
      </w:r>
      <w:r w:rsidR="00EF5C8A" w:rsidRPr="00EF5C8A">
        <w:rPr>
          <w:rFonts w:cs="Times New Roman"/>
          <w:sz w:val="18"/>
          <w:szCs w:val="18"/>
        </w:rPr>
        <w:t>020</w:t>
      </w:r>
      <w:r w:rsidR="00EF5C8A" w:rsidRPr="00814D29">
        <w:rPr>
          <w:rFonts w:cs="Times New Roman"/>
          <w:sz w:val="18"/>
          <w:szCs w:val="18"/>
        </w:rPr>
        <w:t>/</w:t>
      </w:r>
      <w:r w:rsidR="0064654E">
        <w:rPr>
          <w:rFonts w:cs="Times New Roman"/>
          <w:sz w:val="18"/>
          <w:szCs w:val="18"/>
        </w:rPr>
        <w:t>4</w:t>
      </w:r>
      <w:r w:rsidR="00EF5C8A" w:rsidRPr="00814D29">
        <w:rPr>
          <w:rFonts w:cs="Times New Roman"/>
          <w:sz w:val="18"/>
          <w:szCs w:val="18"/>
        </w:rPr>
        <w:t>/</w:t>
      </w:r>
      <w:r w:rsidR="0064654E">
        <w:rPr>
          <w:rFonts w:cs="Times New Roman"/>
          <w:sz w:val="18"/>
          <w:szCs w:val="18"/>
        </w:rPr>
        <w:t>3</w:t>
      </w:r>
    </w:p>
    <w:p w14:paraId="1EDCF6D4" w14:textId="77777777" w:rsidR="00EF5C8A" w:rsidRPr="00EF5C8A" w:rsidRDefault="00EF5C8A" w:rsidP="00EF5C8A">
      <w:pPr>
        <w:ind w:right="0"/>
        <w:jc w:val="left"/>
        <w:rPr>
          <w:rFonts w:cs="Times New Roman"/>
          <w:sz w:val="18"/>
          <w:szCs w:val="18"/>
        </w:rPr>
      </w:pPr>
      <w:r w:rsidRPr="00EF5C8A">
        <w:rPr>
          <w:rFonts w:cs="Times New Roman"/>
          <w:sz w:val="18"/>
          <w:szCs w:val="18"/>
        </w:rPr>
        <w:br w:type="page"/>
      </w:r>
    </w:p>
    <w:tbl>
      <w:tblPr>
        <w:tblStyle w:val="af"/>
        <w:tblW w:w="751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13"/>
      </w:tblGrid>
      <w:tr w:rsidR="00EF5C8A" w:rsidRPr="00EF5C8A" w14:paraId="7B38312F" w14:textId="77777777" w:rsidTr="00894BF4">
        <w:tc>
          <w:tcPr>
            <w:tcW w:w="7513" w:type="dxa"/>
          </w:tcPr>
          <w:p w14:paraId="1DF5D6A5" w14:textId="5E8DC9E4" w:rsidR="00EF5C8A" w:rsidRPr="00B62FC4" w:rsidRDefault="00B62FC4" w:rsidP="00B62FC4">
            <w:pPr>
              <w:pStyle w:val="ad"/>
              <w:keepNext/>
            </w:pPr>
            <w:r w:rsidRPr="00B62FC4">
              <w:rPr>
                <w:rFonts w:hint="eastAsia"/>
                <w:sz w:val="21"/>
                <w:szCs w:val="20"/>
              </w:rPr>
              <w:lastRenderedPageBreak/>
              <w:t>图</w:t>
            </w:r>
            <w:r w:rsidRPr="00B62FC4">
              <w:rPr>
                <w:rFonts w:hint="eastAsia"/>
                <w:sz w:val="21"/>
                <w:szCs w:val="20"/>
              </w:rPr>
              <w:t xml:space="preserve"> </w:t>
            </w:r>
            <w:r w:rsidRPr="00B62FC4">
              <w:rPr>
                <w:sz w:val="21"/>
                <w:szCs w:val="20"/>
              </w:rPr>
              <w:fldChar w:fldCharType="begin"/>
            </w:r>
            <w:r w:rsidRPr="00B62FC4">
              <w:rPr>
                <w:sz w:val="21"/>
                <w:szCs w:val="20"/>
              </w:rPr>
              <w:instrText xml:space="preserve"> </w:instrText>
            </w:r>
            <w:r w:rsidRPr="00B62FC4">
              <w:rPr>
                <w:rFonts w:hint="eastAsia"/>
                <w:sz w:val="21"/>
                <w:szCs w:val="20"/>
              </w:rPr>
              <w:instrText xml:space="preserve">SEQ </w:instrText>
            </w:r>
            <w:r w:rsidRPr="00B62FC4">
              <w:rPr>
                <w:rFonts w:hint="eastAsia"/>
                <w:sz w:val="21"/>
                <w:szCs w:val="20"/>
              </w:rPr>
              <w:instrText>图</w:instrText>
            </w:r>
            <w:r w:rsidRPr="00B62FC4">
              <w:rPr>
                <w:rFonts w:hint="eastAsia"/>
                <w:sz w:val="21"/>
                <w:szCs w:val="20"/>
              </w:rPr>
              <w:instrText xml:space="preserve"> \* ARABIC</w:instrText>
            </w:r>
            <w:r w:rsidRPr="00B62FC4">
              <w:rPr>
                <w:sz w:val="21"/>
                <w:szCs w:val="20"/>
              </w:rPr>
              <w:instrText xml:space="preserve"> </w:instrText>
            </w:r>
            <w:r w:rsidRPr="00B62FC4">
              <w:rPr>
                <w:sz w:val="21"/>
                <w:szCs w:val="20"/>
              </w:rPr>
              <w:fldChar w:fldCharType="separate"/>
            </w:r>
            <w:r w:rsidR="00DB5785">
              <w:rPr>
                <w:noProof/>
                <w:sz w:val="21"/>
                <w:szCs w:val="20"/>
              </w:rPr>
              <w:t>11</w:t>
            </w:r>
            <w:r w:rsidRPr="00B62FC4">
              <w:rPr>
                <w:sz w:val="21"/>
                <w:szCs w:val="20"/>
              </w:rPr>
              <w:fldChar w:fldCharType="end"/>
            </w:r>
            <w:r w:rsidR="00EF5C8A" w:rsidRPr="00B62FC4">
              <w:rPr>
                <w:rFonts w:cs="Times New Roman"/>
                <w:sz w:val="21"/>
                <w:szCs w:val="21"/>
              </w:rPr>
              <w:t>：</w:t>
            </w:r>
            <w:r w:rsidR="00EF5C8A" w:rsidRPr="00B62FC4">
              <w:rPr>
                <w:rFonts w:cs="Times New Roman"/>
                <w:color w:val="000000"/>
                <w:sz w:val="21"/>
                <w:szCs w:val="21"/>
              </w:rPr>
              <w:t>二手房挂牌出售价格指数近期</w:t>
            </w:r>
            <w:r w:rsidR="00857B1E">
              <w:rPr>
                <w:rFonts w:cs="Times New Roman" w:hint="eastAsia"/>
                <w:color w:val="000000"/>
                <w:sz w:val="21"/>
                <w:szCs w:val="21"/>
              </w:rPr>
              <w:t>稳中微升</w:t>
            </w:r>
          </w:p>
        </w:tc>
      </w:tr>
      <w:tr w:rsidR="00EF5C8A" w:rsidRPr="00EF5C8A" w14:paraId="33FF7C8B" w14:textId="77777777" w:rsidTr="0083351F">
        <w:tc>
          <w:tcPr>
            <w:tcW w:w="7513" w:type="dxa"/>
          </w:tcPr>
          <w:p w14:paraId="35C3CF96" w14:textId="68A79982" w:rsidR="00EF5C8A" w:rsidRPr="00EF5C8A" w:rsidRDefault="0083351F" w:rsidP="00EF5C8A">
            <w:pPr>
              <w:ind w:right="2856"/>
              <w:rPr>
                <w:rFonts w:cs="Times New Roman"/>
              </w:rPr>
            </w:pPr>
            <w:r>
              <w:rPr>
                <w:noProof/>
              </w:rPr>
              <w:drawing>
                <wp:inline distT="0" distB="0" distL="0" distR="0" wp14:anchorId="00B90259" wp14:editId="549BB5F2">
                  <wp:extent cx="4324350" cy="2162175"/>
                  <wp:effectExtent l="0" t="0" r="0" b="0"/>
                  <wp:docPr id="23" name="图表 23">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EF5C8A" w:rsidRPr="00EF5C8A" w14:paraId="6A2EFF5B" w14:textId="77777777" w:rsidTr="00894BF4">
        <w:tc>
          <w:tcPr>
            <w:tcW w:w="7513" w:type="dxa"/>
          </w:tcPr>
          <w:p w14:paraId="6B59AC2C" w14:textId="23BD06F5" w:rsidR="00EF5C8A" w:rsidRPr="00EF5C8A" w:rsidRDefault="00A507E1" w:rsidP="00EF5C8A">
            <w:pPr>
              <w:ind w:right="2856"/>
              <w:rPr>
                <w:rFonts w:cs="Times New Roman"/>
              </w:rPr>
            </w:pPr>
            <w:r>
              <w:rPr>
                <w:rFonts w:cs="Times New Roman"/>
                <w:sz w:val="18"/>
              </w:rPr>
              <w:t>数据来源</w:t>
            </w:r>
            <w:r w:rsidR="00EF5C8A" w:rsidRPr="00EF5C8A">
              <w:rPr>
                <w:rFonts w:cs="Times New Roman"/>
                <w:sz w:val="18"/>
              </w:rPr>
              <w:t>：</w:t>
            </w:r>
            <w:r w:rsidR="00EF5C8A" w:rsidRPr="00EF5C8A">
              <w:rPr>
                <w:rFonts w:cs="Times New Roman"/>
                <w:sz w:val="18"/>
              </w:rPr>
              <w:t>Wind</w:t>
            </w:r>
            <w:r w:rsidR="009E4061">
              <w:rPr>
                <w:rFonts w:cs="Times New Roman"/>
                <w:sz w:val="18"/>
              </w:rPr>
              <w:t>，</w:t>
            </w:r>
            <w:r w:rsidR="00EF5C8A" w:rsidRPr="00EF5C8A">
              <w:rPr>
                <w:rFonts w:cs="Times New Roman"/>
                <w:sz w:val="18"/>
              </w:rPr>
              <w:t>中</w:t>
            </w:r>
            <w:proofErr w:type="gramStart"/>
            <w:r w:rsidR="00EF5C8A" w:rsidRPr="00EF5C8A">
              <w:rPr>
                <w:rFonts w:cs="Times New Roman"/>
                <w:sz w:val="18"/>
              </w:rPr>
              <w:t>达证券</w:t>
            </w:r>
            <w:proofErr w:type="gramEnd"/>
            <w:r w:rsidR="00EF5C8A" w:rsidRPr="00EF5C8A">
              <w:rPr>
                <w:rFonts w:cs="Times New Roman"/>
                <w:sz w:val="18"/>
              </w:rPr>
              <w:t>研究；注：截至</w:t>
            </w:r>
            <w:r w:rsidR="00EF5C8A" w:rsidRPr="00EF5C8A">
              <w:rPr>
                <w:rFonts w:cs="Times New Roman"/>
                <w:sz w:val="18"/>
              </w:rPr>
              <w:t>2020</w:t>
            </w:r>
            <w:r w:rsidR="00EF5C8A" w:rsidRPr="000A3F7D">
              <w:rPr>
                <w:rFonts w:cs="Times New Roman"/>
                <w:sz w:val="18"/>
              </w:rPr>
              <w:t>/3/</w:t>
            </w:r>
            <w:r w:rsidR="00336282">
              <w:rPr>
                <w:rFonts w:cs="Times New Roman" w:hint="eastAsia"/>
                <w:sz w:val="18"/>
              </w:rPr>
              <w:t>2</w:t>
            </w:r>
            <w:r w:rsidR="0083351F">
              <w:rPr>
                <w:rFonts w:cs="Times New Roman"/>
                <w:sz w:val="18"/>
              </w:rPr>
              <w:t>9</w:t>
            </w:r>
          </w:p>
        </w:tc>
      </w:tr>
    </w:tbl>
    <w:p w14:paraId="28072B23" w14:textId="77777777" w:rsidR="00EF5C8A" w:rsidRPr="00EF5C8A" w:rsidRDefault="00EF5C8A" w:rsidP="00EF5C8A">
      <w:pPr>
        <w:rPr>
          <w:rFonts w:eastAsia="PMingLiU" w:cs="Times New Roman"/>
        </w:rPr>
      </w:pPr>
    </w:p>
    <w:tbl>
      <w:tblPr>
        <w:tblW w:w="10206" w:type="dxa"/>
        <w:tblLayout w:type="fixed"/>
        <w:tblCellMar>
          <w:left w:w="0" w:type="dxa"/>
          <w:right w:w="0" w:type="dxa"/>
        </w:tblCellMar>
        <w:tblLook w:val="04A0" w:firstRow="1" w:lastRow="0" w:firstColumn="1" w:lastColumn="0" w:noHBand="0" w:noVBand="1"/>
      </w:tblPr>
      <w:tblGrid>
        <w:gridCol w:w="4985"/>
        <w:gridCol w:w="236"/>
        <w:gridCol w:w="4985"/>
      </w:tblGrid>
      <w:tr w:rsidR="00EF5C8A" w:rsidRPr="00EF5C8A" w14:paraId="0DF914F9" w14:textId="77777777" w:rsidTr="00894BF4">
        <w:tc>
          <w:tcPr>
            <w:tcW w:w="4985" w:type="dxa"/>
          </w:tcPr>
          <w:p w14:paraId="360EB8D4" w14:textId="307C9C6B" w:rsidR="00EF5C8A" w:rsidRPr="00B62FC4" w:rsidRDefault="00B62FC4" w:rsidP="00B62FC4">
            <w:pPr>
              <w:pStyle w:val="ad"/>
              <w:keepNext/>
              <w:ind w:right="28"/>
              <w:rPr>
                <w:sz w:val="21"/>
                <w:szCs w:val="20"/>
              </w:rPr>
            </w:pPr>
            <w:bookmarkStart w:id="12" w:name="_Toc14468215"/>
            <w:r w:rsidRPr="00B62FC4">
              <w:rPr>
                <w:rFonts w:hint="eastAsia"/>
                <w:sz w:val="21"/>
                <w:szCs w:val="20"/>
              </w:rPr>
              <w:t>图</w:t>
            </w:r>
            <w:r w:rsidRPr="00B62FC4">
              <w:rPr>
                <w:rFonts w:hint="eastAsia"/>
                <w:sz w:val="21"/>
                <w:szCs w:val="20"/>
              </w:rPr>
              <w:t xml:space="preserve"> </w:t>
            </w:r>
            <w:r w:rsidRPr="00B62FC4">
              <w:rPr>
                <w:sz w:val="21"/>
                <w:szCs w:val="20"/>
              </w:rPr>
              <w:fldChar w:fldCharType="begin"/>
            </w:r>
            <w:r w:rsidRPr="00B62FC4">
              <w:rPr>
                <w:sz w:val="21"/>
                <w:szCs w:val="20"/>
              </w:rPr>
              <w:instrText xml:space="preserve"> </w:instrText>
            </w:r>
            <w:r w:rsidRPr="00B62FC4">
              <w:rPr>
                <w:rFonts w:hint="eastAsia"/>
                <w:sz w:val="21"/>
                <w:szCs w:val="20"/>
              </w:rPr>
              <w:instrText xml:space="preserve">SEQ </w:instrText>
            </w:r>
            <w:r w:rsidRPr="00B62FC4">
              <w:rPr>
                <w:rFonts w:hint="eastAsia"/>
                <w:sz w:val="21"/>
                <w:szCs w:val="20"/>
              </w:rPr>
              <w:instrText>图</w:instrText>
            </w:r>
            <w:r w:rsidRPr="00B62FC4">
              <w:rPr>
                <w:rFonts w:hint="eastAsia"/>
                <w:sz w:val="21"/>
                <w:szCs w:val="20"/>
              </w:rPr>
              <w:instrText xml:space="preserve"> \* ARABIC</w:instrText>
            </w:r>
            <w:r w:rsidRPr="00B62FC4">
              <w:rPr>
                <w:sz w:val="21"/>
                <w:szCs w:val="20"/>
              </w:rPr>
              <w:instrText xml:space="preserve"> </w:instrText>
            </w:r>
            <w:r w:rsidRPr="00B62FC4">
              <w:rPr>
                <w:sz w:val="21"/>
                <w:szCs w:val="20"/>
              </w:rPr>
              <w:fldChar w:fldCharType="separate"/>
            </w:r>
            <w:r w:rsidR="00DB5785">
              <w:rPr>
                <w:noProof/>
                <w:sz w:val="21"/>
                <w:szCs w:val="20"/>
              </w:rPr>
              <w:t>12</w:t>
            </w:r>
            <w:r w:rsidRPr="00B62FC4">
              <w:rPr>
                <w:sz w:val="21"/>
                <w:szCs w:val="20"/>
              </w:rPr>
              <w:fldChar w:fldCharType="end"/>
            </w:r>
            <w:r w:rsidR="00EF5C8A" w:rsidRPr="00B62FC4">
              <w:rPr>
                <w:rFonts w:cs="Times New Roman"/>
                <w:sz w:val="21"/>
                <w:szCs w:val="20"/>
              </w:rPr>
              <w:t>：</w:t>
            </w:r>
            <w:bookmarkEnd w:id="12"/>
            <w:r w:rsidR="00EF5C8A" w:rsidRPr="00B62FC4">
              <w:rPr>
                <w:rFonts w:cs="Times New Roman"/>
                <w:sz w:val="21"/>
                <w:szCs w:val="20"/>
              </w:rPr>
              <w:t>一线城市二手房价格指数</w:t>
            </w:r>
            <w:r w:rsidR="00EF5C8A" w:rsidRPr="00B62FC4">
              <w:rPr>
                <w:rFonts w:cs="Times New Roman" w:hint="eastAsia"/>
                <w:sz w:val="21"/>
                <w:szCs w:val="20"/>
              </w:rPr>
              <w:t>近期</w:t>
            </w:r>
            <w:r w:rsidR="00EF5C8A" w:rsidRPr="00B62FC4">
              <w:rPr>
                <w:rFonts w:cs="Times New Roman"/>
                <w:sz w:val="21"/>
                <w:szCs w:val="20"/>
              </w:rPr>
              <w:t>保持稳定</w:t>
            </w:r>
          </w:p>
        </w:tc>
        <w:tc>
          <w:tcPr>
            <w:tcW w:w="236" w:type="dxa"/>
          </w:tcPr>
          <w:p w14:paraId="6DD5720F" w14:textId="77777777" w:rsidR="00EF5C8A" w:rsidRPr="00B62FC4" w:rsidRDefault="00EF5C8A" w:rsidP="00EF5C8A">
            <w:pPr>
              <w:spacing w:after="0"/>
              <w:rPr>
                <w:rFonts w:cs="Times New Roman"/>
                <w:b/>
                <w:bCs/>
                <w:color w:val="000000"/>
                <w:szCs w:val="20"/>
              </w:rPr>
            </w:pPr>
          </w:p>
        </w:tc>
        <w:tc>
          <w:tcPr>
            <w:tcW w:w="4985" w:type="dxa"/>
          </w:tcPr>
          <w:p w14:paraId="30858982" w14:textId="573869D1" w:rsidR="00EF5C8A" w:rsidRPr="00B62FC4" w:rsidRDefault="00B62FC4" w:rsidP="00B62FC4">
            <w:pPr>
              <w:pStyle w:val="ad"/>
              <w:keepNext/>
              <w:ind w:right="0"/>
              <w:rPr>
                <w:sz w:val="21"/>
                <w:szCs w:val="20"/>
              </w:rPr>
            </w:pPr>
            <w:bookmarkStart w:id="13" w:name="_Toc14468216"/>
            <w:r w:rsidRPr="00B62FC4">
              <w:rPr>
                <w:rFonts w:hint="eastAsia"/>
                <w:sz w:val="21"/>
                <w:szCs w:val="20"/>
              </w:rPr>
              <w:t>图</w:t>
            </w:r>
            <w:r w:rsidRPr="00B62FC4">
              <w:rPr>
                <w:rFonts w:hint="eastAsia"/>
                <w:sz w:val="21"/>
                <w:szCs w:val="20"/>
              </w:rPr>
              <w:t xml:space="preserve"> </w:t>
            </w:r>
            <w:r w:rsidRPr="00B62FC4">
              <w:rPr>
                <w:sz w:val="21"/>
                <w:szCs w:val="20"/>
              </w:rPr>
              <w:fldChar w:fldCharType="begin"/>
            </w:r>
            <w:r w:rsidRPr="00B62FC4">
              <w:rPr>
                <w:sz w:val="21"/>
                <w:szCs w:val="20"/>
              </w:rPr>
              <w:instrText xml:space="preserve"> </w:instrText>
            </w:r>
            <w:r w:rsidRPr="00B62FC4">
              <w:rPr>
                <w:rFonts w:hint="eastAsia"/>
                <w:sz w:val="21"/>
                <w:szCs w:val="20"/>
              </w:rPr>
              <w:instrText xml:space="preserve">SEQ </w:instrText>
            </w:r>
            <w:r w:rsidRPr="00B62FC4">
              <w:rPr>
                <w:rFonts w:hint="eastAsia"/>
                <w:sz w:val="21"/>
                <w:szCs w:val="20"/>
              </w:rPr>
              <w:instrText>图</w:instrText>
            </w:r>
            <w:r w:rsidRPr="00B62FC4">
              <w:rPr>
                <w:rFonts w:hint="eastAsia"/>
                <w:sz w:val="21"/>
                <w:szCs w:val="20"/>
              </w:rPr>
              <w:instrText xml:space="preserve"> \* ARABIC</w:instrText>
            </w:r>
            <w:r w:rsidRPr="00B62FC4">
              <w:rPr>
                <w:sz w:val="21"/>
                <w:szCs w:val="20"/>
              </w:rPr>
              <w:instrText xml:space="preserve"> </w:instrText>
            </w:r>
            <w:r w:rsidRPr="00B62FC4">
              <w:rPr>
                <w:sz w:val="21"/>
                <w:szCs w:val="20"/>
              </w:rPr>
              <w:fldChar w:fldCharType="separate"/>
            </w:r>
            <w:r w:rsidR="00DB5785">
              <w:rPr>
                <w:noProof/>
                <w:sz w:val="21"/>
                <w:szCs w:val="20"/>
              </w:rPr>
              <w:t>13</w:t>
            </w:r>
            <w:r w:rsidRPr="00B62FC4">
              <w:rPr>
                <w:sz w:val="21"/>
                <w:szCs w:val="20"/>
              </w:rPr>
              <w:fldChar w:fldCharType="end"/>
            </w:r>
            <w:r w:rsidR="00EF5C8A" w:rsidRPr="00B62FC4">
              <w:rPr>
                <w:rFonts w:cs="Times New Roman"/>
                <w:sz w:val="21"/>
                <w:szCs w:val="20"/>
              </w:rPr>
              <w:t>：二线城市二手房</w:t>
            </w:r>
            <w:bookmarkEnd w:id="13"/>
            <w:r w:rsidR="00EF5C8A" w:rsidRPr="00B62FC4">
              <w:rPr>
                <w:rFonts w:cs="Times New Roman"/>
                <w:sz w:val="21"/>
                <w:szCs w:val="20"/>
              </w:rPr>
              <w:t>价格指数保持稳定</w:t>
            </w:r>
          </w:p>
        </w:tc>
      </w:tr>
      <w:tr w:rsidR="00EF5C8A" w:rsidRPr="00EF5C8A" w14:paraId="6216387C" w14:textId="77777777" w:rsidTr="0083351F">
        <w:tblPrEx>
          <w:tblCellMar>
            <w:left w:w="108" w:type="dxa"/>
            <w:right w:w="108" w:type="dxa"/>
          </w:tblCellMar>
        </w:tblPrEx>
        <w:trPr>
          <w:trHeight w:hRule="exact" w:val="2835"/>
        </w:trPr>
        <w:tc>
          <w:tcPr>
            <w:tcW w:w="4985" w:type="dxa"/>
            <w:vAlign w:val="center"/>
          </w:tcPr>
          <w:p w14:paraId="27A658A5" w14:textId="6A48E3FD" w:rsidR="00EF5C8A" w:rsidRPr="00EF5C8A" w:rsidRDefault="0083351F" w:rsidP="00EF5C8A">
            <w:pPr>
              <w:spacing w:after="0"/>
              <w:ind w:leftChars="-50" w:left="-105" w:right="-226"/>
              <w:rPr>
                <w:rFonts w:cs="Times New Roman"/>
                <w:color w:val="F2F2F2"/>
                <w:sz w:val="16"/>
                <w:szCs w:val="16"/>
              </w:rPr>
            </w:pPr>
            <w:r>
              <w:rPr>
                <w:noProof/>
              </w:rPr>
              <w:drawing>
                <wp:inline distT="0" distB="0" distL="0" distR="0" wp14:anchorId="095F4D43" wp14:editId="2823A97B">
                  <wp:extent cx="3028315" cy="1700530"/>
                  <wp:effectExtent l="0" t="0" r="635" b="0"/>
                  <wp:docPr id="24" name="图表 24">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236" w:type="dxa"/>
            <w:vAlign w:val="center"/>
          </w:tcPr>
          <w:p w14:paraId="33A370A8" w14:textId="77777777" w:rsidR="00EF5C8A" w:rsidRPr="00EF5C8A" w:rsidRDefault="00EF5C8A" w:rsidP="00EF5C8A">
            <w:pPr>
              <w:spacing w:after="0"/>
              <w:rPr>
                <w:rFonts w:cs="Times New Roman"/>
                <w:sz w:val="16"/>
                <w:szCs w:val="16"/>
              </w:rPr>
            </w:pPr>
          </w:p>
        </w:tc>
        <w:tc>
          <w:tcPr>
            <w:tcW w:w="4985" w:type="dxa"/>
            <w:vAlign w:val="center"/>
          </w:tcPr>
          <w:p w14:paraId="2025B825" w14:textId="296F5B78" w:rsidR="00EF5C8A" w:rsidRPr="00EF5C8A" w:rsidRDefault="0083351F" w:rsidP="00EF5C8A">
            <w:pPr>
              <w:spacing w:after="0"/>
              <w:ind w:right="0"/>
              <w:rPr>
                <w:rFonts w:cs="Times New Roman"/>
                <w:sz w:val="16"/>
                <w:szCs w:val="16"/>
              </w:rPr>
            </w:pPr>
            <w:r>
              <w:rPr>
                <w:noProof/>
              </w:rPr>
              <w:drawing>
                <wp:inline distT="0" distB="0" distL="0" distR="0" wp14:anchorId="3014E076" wp14:editId="2BF3EEDA">
                  <wp:extent cx="3028315" cy="1700530"/>
                  <wp:effectExtent l="0" t="0" r="635" b="0"/>
                  <wp:docPr id="28" name="图表 28">
                    <a:extLst xmlns:a="http://schemas.openxmlformats.org/drawingml/2006/main">
                      <a:ext uri="{FF2B5EF4-FFF2-40B4-BE49-F238E27FC236}">
                        <a16:creationId xmlns:a16="http://schemas.microsoft.com/office/drawing/2014/main" id="{00000000-0008-0000-07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EF5C8A" w:rsidRPr="00EF5C8A" w14:paraId="0BEE76DE" w14:textId="77777777" w:rsidTr="00894BF4">
        <w:tc>
          <w:tcPr>
            <w:tcW w:w="4985" w:type="dxa"/>
          </w:tcPr>
          <w:p w14:paraId="0981CD1C" w14:textId="6B49F9F6" w:rsidR="00EF5C8A" w:rsidRPr="00EF5C8A" w:rsidRDefault="00A507E1" w:rsidP="00EF5C8A">
            <w:pPr>
              <w:spacing w:after="0" w:line="240" w:lineRule="auto"/>
              <w:ind w:right="0"/>
              <w:rPr>
                <w:rFonts w:cs="Times New Roman"/>
                <w:kern w:val="2"/>
                <w:sz w:val="18"/>
                <w:szCs w:val="18"/>
              </w:rPr>
            </w:pPr>
            <w:r>
              <w:rPr>
                <w:rFonts w:cs="Times New Roman"/>
                <w:sz w:val="18"/>
              </w:rPr>
              <w:t>数据来源</w:t>
            </w:r>
            <w:r w:rsidR="00EF5C8A" w:rsidRPr="00EF5C8A">
              <w:rPr>
                <w:rFonts w:cs="Times New Roman"/>
                <w:sz w:val="18"/>
              </w:rPr>
              <w:t>：</w:t>
            </w:r>
            <w:r w:rsidR="00EF5C8A" w:rsidRPr="00EF5C8A">
              <w:rPr>
                <w:rFonts w:cs="Times New Roman"/>
                <w:sz w:val="18"/>
              </w:rPr>
              <w:t>Wind</w:t>
            </w:r>
            <w:r w:rsidR="009E4061">
              <w:rPr>
                <w:rFonts w:cs="Times New Roman"/>
                <w:sz w:val="18"/>
              </w:rPr>
              <w:t>，</w:t>
            </w:r>
            <w:r w:rsidR="00EF5C8A" w:rsidRPr="00EF5C8A">
              <w:rPr>
                <w:rFonts w:cs="Times New Roman"/>
                <w:sz w:val="18"/>
              </w:rPr>
              <w:t>中</w:t>
            </w:r>
            <w:proofErr w:type="gramStart"/>
            <w:r w:rsidR="00EF5C8A" w:rsidRPr="00EF5C8A">
              <w:rPr>
                <w:rFonts w:cs="Times New Roman"/>
                <w:sz w:val="18"/>
              </w:rPr>
              <w:t>达证券</w:t>
            </w:r>
            <w:proofErr w:type="gramEnd"/>
            <w:r w:rsidR="00EF5C8A" w:rsidRPr="00EF5C8A">
              <w:rPr>
                <w:rFonts w:cs="Times New Roman"/>
                <w:sz w:val="18"/>
              </w:rPr>
              <w:t>研究；注：截至</w:t>
            </w:r>
            <w:r w:rsidR="00EF5C8A" w:rsidRPr="00EF5C8A">
              <w:rPr>
                <w:rFonts w:cs="Times New Roman"/>
                <w:sz w:val="18"/>
              </w:rPr>
              <w:t>2020</w:t>
            </w:r>
            <w:r w:rsidR="00EF5C8A" w:rsidRPr="000A3F7D">
              <w:rPr>
                <w:rFonts w:cs="Times New Roman"/>
                <w:sz w:val="18"/>
              </w:rPr>
              <w:t>/</w:t>
            </w:r>
            <w:r w:rsidR="00EF5C8A" w:rsidRPr="000A3F7D">
              <w:rPr>
                <w:rFonts w:cs="Times New Roman" w:hint="eastAsia"/>
                <w:sz w:val="18"/>
              </w:rPr>
              <w:t>3</w:t>
            </w:r>
            <w:r w:rsidR="00336282">
              <w:rPr>
                <w:rFonts w:cs="Times New Roman" w:hint="eastAsia"/>
                <w:sz w:val="18"/>
              </w:rPr>
              <w:t>/2</w:t>
            </w:r>
            <w:r w:rsidR="0083351F">
              <w:rPr>
                <w:rFonts w:cs="Times New Roman"/>
                <w:sz w:val="18"/>
              </w:rPr>
              <w:t>9</w:t>
            </w:r>
          </w:p>
        </w:tc>
        <w:tc>
          <w:tcPr>
            <w:tcW w:w="236" w:type="dxa"/>
          </w:tcPr>
          <w:p w14:paraId="53A65967" w14:textId="77777777" w:rsidR="00EF5C8A" w:rsidRPr="00EF5C8A" w:rsidRDefault="00EF5C8A" w:rsidP="00EF5C8A">
            <w:pPr>
              <w:spacing w:after="0"/>
              <w:rPr>
                <w:rFonts w:cs="Times New Roman"/>
                <w:sz w:val="18"/>
                <w:szCs w:val="18"/>
              </w:rPr>
            </w:pPr>
          </w:p>
        </w:tc>
        <w:tc>
          <w:tcPr>
            <w:tcW w:w="4985" w:type="dxa"/>
          </w:tcPr>
          <w:p w14:paraId="2FC0A108" w14:textId="027EEDA8" w:rsidR="00EF5C8A" w:rsidRPr="00EF5C8A" w:rsidRDefault="00A507E1" w:rsidP="00EF5C8A">
            <w:pPr>
              <w:spacing w:after="0" w:line="240" w:lineRule="auto"/>
              <w:ind w:right="0"/>
              <w:rPr>
                <w:rFonts w:cs="Times New Roman"/>
                <w:kern w:val="2"/>
                <w:sz w:val="18"/>
                <w:szCs w:val="18"/>
              </w:rPr>
            </w:pPr>
            <w:r>
              <w:rPr>
                <w:rFonts w:cs="Times New Roman"/>
                <w:sz w:val="18"/>
              </w:rPr>
              <w:t>数据来源</w:t>
            </w:r>
            <w:r w:rsidR="00EF5C8A" w:rsidRPr="00EF5C8A">
              <w:rPr>
                <w:rFonts w:cs="Times New Roman"/>
                <w:sz w:val="18"/>
              </w:rPr>
              <w:t>：</w:t>
            </w:r>
            <w:r w:rsidR="00EF5C8A" w:rsidRPr="00EF5C8A">
              <w:rPr>
                <w:rFonts w:cs="Times New Roman"/>
                <w:sz w:val="18"/>
              </w:rPr>
              <w:t>Wind</w:t>
            </w:r>
            <w:r w:rsidR="009E4061">
              <w:rPr>
                <w:rFonts w:cs="Times New Roman"/>
                <w:sz w:val="18"/>
              </w:rPr>
              <w:t>，</w:t>
            </w:r>
            <w:r w:rsidR="00EF5C8A" w:rsidRPr="00EF5C8A">
              <w:rPr>
                <w:rFonts w:cs="Times New Roman"/>
                <w:sz w:val="18"/>
              </w:rPr>
              <w:t>中</w:t>
            </w:r>
            <w:proofErr w:type="gramStart"/>
            <w:r w:rsidR="00EF5C8A" w:rsidRPr="00EF5C8A">
              <w:rPr>
                <w:rFonts w:cs="Times New Roman"/>
                <w:sz w:val="18"/>
              </w:rPr>
              <w:t>达证券</w:t>
            </w:r>
            <w:proofErr w:type="gramEnd"/>
            <w:r w:rsidR="00EF5C8A" w:rsidRPr="00EF5C8A">
              <w:rPr>
                <w:rFonts w:cs="Times New Roman"/>
                <w:sz w:val="18"/>
              </w:rPr>
              <w:t>研究；注：截至</w:t>
            </w:r>
            <w:r w:rsidR="00EF5C8A" w:rsidRPr="00EF5C8A">
              <w:rPr>
                <w:rFonts w:cs="Times New Roman"/>
                <w:sz w:val="18"/>
              </w:rPr>
              <w:t>2020</w:t>
            </w:r>
            <w:r w:rsidR="00EF5C8A" w:rsidRPr="00814D29">
              <w:rPr>
                <w:rFonts w:cs="Times New Roman"/>
                <w:sz w:val="18"/>
              </w:rPr>
              <w:t>/</w:t>
            </w:r>
            <w:r w:rsidR="00EF5C8A" w:rsidRPr="00814D29">
              <w:rPr>
                <w:rFonts w:cs="Times New Roman" w:hint="eastAsia"/>
                <w:sz w:val="18"/>
              </w:rPr>
              <w:t>3/</w:t>
            </w:r>
            <w:r w:rsidR="00336282">
              <w:rPr>
                <w:rFonts w:cs="Times New Roman" w:hint="eastAsia"/>
                <w:sz w:val="18"/>
              </w:rPr>
              <w:t>2</w:t>
            </w:r>
            <w:r w:rsidR="0083351F">
              <w:rPr>
                <w:rFonts w:cs="Times New Roman"/>
                <w:sz w:val="18"/>
              </w:rPr>
              <w:t>9</w:t>
            </w:r>
          </w:p>
        </w:tc>
      </w:tr>
    </w:tbl>
    <w:p w14:paraId="5652D6A6" w14:textId="77777777" w:rsidR="00EF5C8A" w:rsidRPr="00EF5C8A" w:rsidRDefault="00EF5C8A" w:rsidP="00EF5C8A">
      <w:pPr>
        <w:rPr>
          <w:rFonts w:cs="Times New Roman"/>
        </w:rPr>
      </w:pPr>
    </w:p>
    <w:tbl>
      <w:tblPr>
        <w:tblW w:w="10206" w:type="dxa"/>
        <w:tblLayout w:type="fixed"/>
        <w:tblCellMar>
          <w:left w:w="0" w:type="dxa"/>
          <w:right w:w="0" w:type="dxa"/>
        </w:tblCellMar>
        <w:tblLook w:val="04A0" w:firstRow="1" w:lastRow="0" w:firstColumn="1" w:lastColumn="0" w:noHBand="0" w:noVBand="1"/>
      </w:tblPr>
      <w:tblGrid>
        <w:gridCol w:w="4985"/>
        <w:gridCol w:w="236"/>
        <w:gridCol w:w="4985"/>
      </w:tblGrid>
      <w:tr w:rsidR="00EF5C8A" w:rsidRPr="00EF5C8A" w14:paraId="7081E267" w14:textId="77777777" w:rsidTr="00894BF4">
        <w:tc>
          <w:tcPr>
            <w:tcW w:w="4985" w:type="dxa"/>
          </w:tcPr>
          <w:p w14:paraId="43017A64" w14:textId="1DF7E5C6" w:rsidR="00EF5C8A" w:rsidRPr="00B62FC4" w:rsidRDefault="00B62FC4" w:rsidP="00B62FC4">
            <w:pPr>
              <w:pStyle w:val="ad"/>
              <w:keepNext/>
              <w:ind w:right="28"/>
              <w:rPr>
                <w:sz w:val="21"/>
                <w:szCs w:val="21"/>
              </w:rPr>
            </w:pPr>
            <w:r w:rsidRPr="00B62FC4">
              <w:rPr>
                <w:rFonts w:hint="eastAsia"/>
                <w:sz w:val="21"/>
                <w:szCs w:val="21"/>
              </w:rPr>
              <w:t>图</w:t>
            </w:r>
            <w:r w:rsidRPr="00B62FC4">
              <w:rPr>
                <w:rFonts w:hint="eastAsia"/>
                <w:sz w:val="21"/>
                <w:szCs w:val="21"/>
              </w:rPr>
              <w:t xml:space="preserve"> </w:t>
            </w:r>
            <w:r w:rsidRPr="00B62FC4">
              <w:rPr>
                <w:sz w:val="21"/>
                <w:szCs w:val="21"/>
              </w:rPr>
              <w:fldChar w:fldCharType="begin"/>
            </w:r>
            <w:r w:rsidRPr="00B62FC4">
              <w:rPr>
                <w:sz w:val="21"/>
                <w:szCs w:val="21"/>
              </w:rPr>
              <w:instrText xml:space="preserve"> </w:instrText>
            </w:r>
            <w:r w:rsidRPr="00B62FC4">
              <w:rPr>
                <w:rFonts w:hint="eastAsia"/>
                <w:sz w:val="21"/>
                <w:szCs w:val="21"/>
              </w:rPr>
              <w:instrText xml:space="preserve">SEQ </w:instrText>
            </w:r>
            <w:r w:rsidRPr="00B62FC4">
              <w:rPr>
                <w:rFonts w:hint="eastAsia"/>
                <w:sz w:val="21"/>
                <w:szCs w:val="21"/>
              </w:rPr>
              <w:instrText>图</w:instrText>
            </w:r>
            <w:r w:rsidRPr="00B62FC4">
              <w:rPr>
                <w:rFonts w:hint="eastAsia"/>
                <w:sz w:val="21"/>
                <w:szCs w:val="21"/>
              </w:rPr>
              <w:instrText xml:space="preserve"> \* ARABIC</w:instrText>
            </w:r>
            <w:r w:rsidRPr="00B62FC4">
              <w:rPr>
                <w:sz w:val="21"/>
                <w:szCs w:val="21"/>
              </w:rPr>
              <w:instrText xml:space="preserve"> </w:instrText>
            </w:r>
            <w:r w:rsidRPr="00B62FC4">
              <w:rPr>
                <w:sz w:val="21"/>
                <w:szCs w:val="21"/>
              </w:rPr>
              <w:fldChar w:fldCharType="separate"/>
            </w:r>
            <w:r w:rsidR="00DB5785">
              <w:rPr>
                <w:noProof/>
                <w:sz w:val="21"/>
                <w:szCs w:val="21"/>
              </w:rPr>
              <w:t>14</w:t>
            </w:r>
            <w:r w:rsidRPr="00B62FC4">
              <w:rPr>
                <w:sz w:val="21"/>
                <w:szCs w:val="21"/>
              </w:rPr>
              <w:fldChar w:fldCharType="end"/>
            </w:r>
            <w:r w:rsidR="00EF5C8A" w:rsidRPr="00B62FC4">
              <w:rPr>
                <w:rFonts w:cs="Times New Roman"/>
                <w:sz w:val="21"/>
                <w:szCs w:val="21"/>
              </w:rPr>
              <w:t>：三线城市二手房</w:t>
            </w:r>
            <w:r w:rsidR="00EF5C8A" w:rsidRPr="00B62FC4">
              <w:rPr>
                <w:rFonts w:cs="Times New Roman" w:hint="eastAsia"/>
                <w:sz w:val="21"/>
                <w:szCs w:val="21"/>
              </w:rPr>
              <w:t>价格</w:t>
            </w:r>
            <w:r w:rsidR="00EF5C8A" w:rsidRPr="00B62FC4">
              <w:rPr>
                <w:rFonts w:cs="Times New Roman"/>
                <w:sz w:val="21"/>
                <w:szCs w:val="21"/>
              </w:rPr>
              <w:t>指数</w:t>
            </w:r>
            <w:r w:rsidR="00EF5C8A" w:rsidRPr="00B62FC4">
              <w:rPr>
                <w:rFonts w:cs="Times New Roman" w:hint="eastAsia"/>
                <w:sz w:val="21"/>
                <w:szCs w:val="21"/>
              </w:rPr>
              <w:t>近期保持稳定</w:t>
            </w:r>
          </w:p>
        </w:tc>
        <w:tc>
          <w:tcPr>
            <w:tcW w:w="236" w:type="dxa"/>
          </w:tcPr>
          <w:p w14:paraId="2AC1313C" w14:textId="77777777" w:rsidR="00EF5C8A" w:rsidRPr="00B62FC4" w:rsidRDefault="00EF5C8A" w:rsidP="00EF5C8A">
            <w:pPr>
              <w:spacing w:after="0"/>
              <w:rPr>
                <w:rFonts w:cs="Times New Roman"/>
                <w:b/>
                <w:bCs/>
                <w:color w:val="000000"/>
                <w:szCs w:val="21"/>
              </w:rPr>
            </w:pPr>
          </w:p>
        </w:tc>
        <w:tc>
          <w:tcPr>
            <w:tcW w:w="4985" w:type="dxa"/>
          </w:tcPr>
          <w:p w14:paraId="508A9BA5" w14:textId="048C50E1" w:rsidR="00EF5C8A" w:rsidRPr="00B62FC4" w:rsidRDefault="00B62FC4" w:rsidP="00B62FC4">
            <w:pPr>
              <w:pStyle w:val="ad"/>
              <w:keepNext/>
              <w:ind w:right="0"/>
              <w:rPr>
                <w:sz w:val="21"/>
                <w:szCs w:val="21"/>
              </w:rPr>
            </w:pPr>
            <w:r w:rsidRPr="00B62FC4">
              <w:rPr>
                <w:rFonts w:hint="eastAsia"/>
                <w:sz w:val="21"/>
                <w:szCs w:val="21"/>
              </w:rPr>
              <w:t>图</w:t>
            </w:r>
            <w:r w:rsidRPr="00B62FC4">
              <w:rPr>
                <w:rFonts w:hint="eastAsia"/>
                <w:sz w:val="21"/>
                <w:szCs w:val="21"/>
              </w:rPr>
              <w:t xml:space="preserve"> </w:t>
            </w:r>
            <w:r w:rsidRPr="00B62FC4">
              <w:rPr>
                <w:sz w:val="21"/>
                <w:szCs w:val="21"/>
              </w:rPr>
              <w:fldChar w:fldCharType="begin"/>
            </w:r>
            <w:r w:rsidRPr="00B62FC4">
              <w:rPr>
                <w:sz w:val="21"/>
                <w:szCs w:val="21"/>
              </w:rPr>
              <w:instrText xml:space="preserve"> </w:instrText>
            </w:r>
            <w:r w:rsidRPr="00B62FC4">
              <w:rPr>
                <w:rFonts w:hint="eastAsia"/>
                <w:sz w:val="21"/>
                <w:szCs w:val="21"/>
              </w:rPr>
              <w:instrText xml:space="preserve">SEQ </w:instrText>
            </w:r>
            <w:r w:rsidRPr="00B62FC4">
              <w:rPr>
                <w:rFonts w:hint="eastAsia"/>
                <w:sz w:val="21"/>
                <w:szCs w:val="21"/>
              </w:rPr>
              <w:instrText>图</w:instrText>
            </w:r>
            <w:r w:rsidRPr="00B62FC4">
              <w:rPr>
                <w:rFonts w:hint="eastAsia"/>
                <w:sz w:val="21"/>
                <w:szCs w:val="21"/>
              </w:rPr>
              <w:instrText xml:space="preserve"> \* ARABIC</w:instrText>
            </w:r>
            <w:r w:rsidRPr="00B62FC4">
              <w:rPr>
                <w:sz w:val="21"/>
                <w:szCs w:val="21"/>
              </w:rPr>
              <w:instrText xml:space="preserve"> </w:instrText>
            </w:r>
            <w:r w:rsidRPr="00B62FC4">
              <w:rPr>
                <w:sz w:val="21"/>
                <w:szCs w:val="21"/>
              </w:rPr>
              <w:fldChar w:fldCharType="separate"/>
            </w:r>
            <w:r w:rsidR="00DB5785">
              <w:rPr>
                <w:noProof/>
                <w:sz w:val="21"/>
                <w:szCs w:val="21"/>
              </w:rPr>
              <w:t>15</w:t>
            </w:r>
            <w:r w:rsidRPr="00B62FC4">
              <w:rPr>
                <w:sz w:val="21"/>
                <w:szCs w:val="21"/>
              </w:rPr>
              <w:fldChar w:fldCharType="end"/>
            </w:r>
            <w:r w:rsidR="00EF5C8A" w:rsidRPr="00B62FC4">
              <w:rPr>
                <w:rFonts w:cs="Times New Roman"/>
                <w:sz w:val="21"/>
                <w:szCs w:val="21"/>
              </w:rPr>
              <w:t>：四线城市二手房</w:t>
            </w:r>
            <w:r w:rsidR="00EF5C8A" w:rsidRPr="00B62FC4">
              <w:rPr>
                <w:rFonts w:cs="Times New Roman" w:hint="eastAsia"/>
                <w:sz w:val="21"/>
                <w:szCs w:val="21"/>
              </w:rPr>
              <w:t>价格指数缓慢上涨</w:t>
            </w:r>
          </w:p>
        </w:tc>
      </w:tr>
      <w:tr w:rsidR="00EF5C8A" w:rsidRPr="00EF5C8A" w14:paraId="06BF2107" w14:textId="77777777" w:rsidTr="0083351F">
        <w:tblPrEx>
          <w:tblCellMar>
            <w:left w:w="108" w:type="dxa"/>
            <w:right w:w="108" w:type="dxa"/>
          </w:tblCellMar>
        </w:tblPrEx>
        <w:trPr>
          <w:trHeight w:hRule="exact" w:val="2708"/>
        </w:trPr>
        <w:tc>
          <w:tcPr>
            <w:tcW w:w="4985" w:type="dxa"/>
            <w:vAlign w:val="center"/>
          </w:tcPr>
          <w:p w14:paraId="41D784FA" w14:textId="0BC8A3D5" w:rsidR="00EF5C8A" w:rsidRPr="00EF5C8A" w:rsidRDefault="0083351F" w:rsidP="00EF5C8A">
            <w:pPr>
              <w:spacing w:after="0"/>
              <w:ind w:leftChars="-50" w:left="-105" w:right="-226"/>
              <w:rPr>
                <w:rFonts w:cs="Times New Roman"/>
                <w:sz w:val="16"/>
                <w:szCs w:val="16"/>
              </w:rPr>
            </w:pPr>
            <w:r>
              <w:rPr>
                <w:noProof/>
              </w:rPr>
              <w:drawing>
                <wp:inline distT="0" distB="0" distL="0" distR="0" wp14:anchorId="2B41DAD7" wp14:editId="18752BA2">
                  <wp:extent cx="3028315" cy="1700530"/>
                  <wp:effectExtent l="0" t="0" r="635" b="0"/>
                  <wp:docPr id="29" name="图表 29">
                    <a:extLst xmlns:a="http://schemas.openxmlformats.org/drawingml/2006/main">
                      <a:ext uri="{FF2B5EF4-FFF2-40B4-BE49-F238E27FC236}">
                        <a16:creationId xmlns:a16="http://schemas.microsoft.com/office/drawing/2014/main" id="{00000000-0008-0000-07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236" w:type="dxa"/>
            <w:vAlign w:val="center"/>
          </w:tcPr>
          <w:p w14:paraId="04153288" w14:textId="77777777" w:rsidR="00EF5C8A" w:rsidRPr="00EF5C8A" w:rsidRDefault="00EF5C8A" w:rsidP="00EF5C8A">
            <w:pPr>
              <w:spacing w:after="0"/>
              <w:rPr>
                <w:rFonts w:cs="Times New Roman"/>
                <w:sz w:val="16"/>
                <w:szCs w:val="16"/>
              </w:rPr>
            </w:pPr>
          </w:p>
        </w:tc>
        <w:tc>
          <w:tcPr>
            <w:tcW w:w="4985" w:type="dxa"/>
            <w:vAlign w:val="center"/>
          </w:tcPr>
          <w:p w14:paraId="3C40385D" w14:textId="25000004" w:rsidR="00EF5C8A" w:rsidRPr="00EF5C8A" w:rsidRDefault="0083351F" w:rsidP="00EF5C8A">
            <w:pPr>
              <w:spacing w:after="0"/>
              <w:ind w:right="0"/>
              <w:rPr>
                <w:rFonts w:cs="Times New Roman"/>
                <w:sz w:val="16"/>
                <w:szCs w:val="16"/>
              </w:rPr>
            </w:pPr>
            <w:r>
              <w:rPr>
                <w:noProof/>
              </w:rPr>
              <w:drawing>
                <wp:inline distT="0" distB="0" distL="0" distR="0" wp14:anchorId="0C0D6356" wp14:editId="78A89176">
                  <wp:extent cx="3028315" cy="1700530"/>
                  <wp:effectExtent l="0" t="0" r="635" b="0"/>
                  <wp:docPr id="35" name="图表 35">
                    <a:extLst xmlns:a="http://schemas.openxmlformats.org/drawingml/2006/main">
                      <a:ext uri="{FF2B5EF4-FFF2-40B4-BE49-F238E27FC236}">
                        <a16:creationId xmlns:a16="http://schemas.microsoft.com/office/drawing/2014/main" id="{00000000-0008-0000-07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EF5C8A" w:rsidRPr="00EF5C8A" w14:paraId="57E2473E" w14:textId="77777777" w:rsidTr="00894BF4">
        <w:tc>
          <w:tcPr>
            <w:tcW w:w="4985" w:type="dxa"/>
          </w:tcPr>
          <w:p w14:paraId="6D62C9D4" w14:textId="151CDDE5" w:rsidR="00EF5C8A" w:rsidRPr="00EF5C8A" w:rsidRDefault="00A507E1" w:rsidP="00EF5C8A">
            <w:pPr>
              <w:spacing w:after="0" w:line="240" w:lineRule="auto"/>
              <w:ind w:right="0"/>
              <w:rPr>
                <w:rFonts w:cs="Times New Roman"/>
                <w:kern w:val="2"/>
                <w:sz w:val="18"/>
                <w:szCs w:val="18"/>
              </w:rPr>
            </w:pPr>
            <w:r>
              <w:rPr>
                <w:rFonts w:cs="Times New Roman"/>
                <w:sz w:val="18"/>
              </w:rPr>
              <w:t>数据来源</w:t>
            </w:r>
            <w:r w:rsidR="00EF5C8A" w:rsidRPr="00EF5C8A">
              <w:rPr>
                <w:rFonts w:cs="Times New Roman"/>
                <w:sz w:val="18"/>
              </w:rPr>
              <w:t>：</w:t>
            </w:r>
            <w:r w:rsidR="00EF5C8A" w:rsidRPr="00EF5C8A">
              <w:rPr>
                <w:rFonts w:cs="Times New Roman"/>
                <w:sz w:val="18"/>
              </w:rPr>
              <w:t>Wind</w:t>
            </w:r>
            <w:r w:rsidR="009E4061">
              <w:rPr>
                <w:rFonts w:cs="Times New Roman"/>
                <w:sz w:val="18"/>
              </w:rPr>
              <w:t>，</w:t>
            </w:r>
            <w:r w:rsidR="00EF5C8A" w:rsidRPr="00EF5C8A">
              <w:rPr>
                <w:rFonts w:cs="Times New Roman"/>
                <w:sz w:val="18"/>
              </w:rPr>
              <w:t>中</w:t>
            </w:r>
            <w:proofErr w:type="gramStart"/>
            <w:r w:rsidR="00EF5C8A" w:rsidRPr="00EF5C8A">
              <w:rPr>
                <w:rFonts w:cs="Times New Roman"/>
                <w:sz w:val="18"/>
              </w:rPr>
              <w:t>达证券</w:t>
            </w:r>
            <w:proofErr w:type="gramEnd"/>
            <w:r w:rsidR="00EF5C8A" w:rsidRPr="00EF5C8A">
              <w:rPr>
                <w:rFonts w:cs="Times New Roman"/>
                <w:sz w:val="18"/>
              </w:rPr>
              <w:t>研究；注：截至</w:t>
            </w:r>
            <w:r w:rsidR="00EF5C8A" w:rsidRPr="00EF5C8A">
              <w:rPr>
                <w:rFonts w:cs="Times New Roman"/>
                <w:sz w:val="18"/>
              </w:rPr>
              <w:t>202</w:t>
            </w:r>
            <w:r w:rsidR="00EF5C8A" w:rsidRPr="00814D29">
              <w:rPr>
                <w:rFonts w:cs="Times New Roman"/>
                <w:sz w:val="18"/>
              </w:rPr>
              <w:t>0/</w:t>
            </w:r>
            <w:r w:rsidR="00EF5C8A" w:rsidRPr="00814D29">
              <w:rPr>
                <w:rFonts w:cs="Times New Roman" w:hint="eastAsia"/>
                <w:sz w:val="18"/>
              </w:rPr>
              <w:t>3/</w:t>
            </w:r>
            <w:r w:rsidR="00336282">
              <w:rPr>
                <w:rFonts w:cs="Times New Roman" w:hint="eastAsia"/>
                <w:sz w:val="18"/>
              </w:rPr>
              <w:t>2</w:t>
            </w:r>
            <w:r w:rsidR="0083351F">
              <w:rPr>
                <w:rFonts w:cs="Times New Roman"/>
                <w:sz w:val="18"/>
              </w:rPr>
              <w:t>9</w:t>
            </w:r>
          </w:p>
        </w:tc>
        <w:tc>
          <w:tcPr>
            <w:tcW w:w="236" w:type="dxa"/>
          </w:tcPr>
          <w:p w14:paraId="01E5C461" w14:textId="77777777" w:rsidR="00EF5C8A" w:rsidRPr="00EF5C8A" w:rsidRDefault="00EF5C8A" w:rsidP="00EF5C8A">
            <w:pPr>
              <w:spacing w:after="0"/>
              <w:rPr>
                <w:rFonts w:cs="Times New Roman"/>
                <w:sz w:val="18"/>
                <w:szCs w:val="18"/>
              </w:rPr>
            </w:pPr>
          </w:p>
        </w:tc>
        <w:tc>
          <w:tcPr>
            <w:tcW w:w="4985" w:type="dxa"/>
          </w:tcPr>
          <w:p w14:paraId="66AB622D" w14:textId="3D20D9B9" w:rsidR="00EF5C8A" w:rsidRPr="00EF5C8A" w:rsidRDefault="00A507E1" w:rsidP="00EF5C8A">
            <w:pPr>
              <w:spacing w:after="0" w:line="240" w:lineRule="auto"/>
              <w:ind w:right="0"/>
              <w:rPr>
                <w:rFonts w:cs="Times New Roman"/>
                <w:kern w:val="2"/>
                <w:sz w:val="18"/>
                <w:szCs w:val="18"/>
              </w:rPr>
            </w:pPr>
            <w:r>
              <w:rPr>
                <w:rFonts w:cs="Times New Roman"/>
                <w:sz w:val="18"/>
              </w:rPr>
              <w:t>数据来源</w:t>
            </w:r>
            <w:r w:rsidR="00EF5C8A" w:rsidRPr="00EF5C8A">
              <w:rPr>
                <w:rFonts w:cs="Times New Roman"/>
                <w:sz w:val="18"/>
              </w:rPr>
              <w:t>：</w:t>
            </w:r>
            <w:r w:rsidR="00EF5C8A" w:rsidRPr="00EF5C8A">
              <w:rPr>
                <w:rFonts w:cs="Times New Roman"/>
                <w:sz w:val="18"/>
              </w:rPr>
              <w:t>Wind</w:t>
            </w:r>
            <w:r w:rsidR="009E4061">
              <w:rPr>
                <w:rFonts w:cs="Times New Roman"/>
                <w:sz w:val="18"/>
              </w:rPr>
              <w:t>，</w:t>
            </w:r>
            <w:r w:rsidR="00EF5C8A" w:rsidRPr="00EF5C8A">
              <w:rPr>
                <w:rFonts w:cs="Times New Roman"/>
                <w:sz w:val="18"/>
              </w:rPr>
              <w:t>中</w:t>
            </w:r>
            <w:proofErr w:type="gramStart"/>
            <w:r w:rsidR="00EF5C8A" w:rsidRPr="00EF5C8A">
              <w:rPr>
                <w:rFonts w:cs="Times New Roman"/>
                <w:sz w:val="18"/>
              </w:rPr>
              <w:t>达证券</w:t>
            </w:r>
            <w:proofErr w:type="gramEnd"/>
            <w:r w:rsidR="00EF5C8A" w:rsidRPr="00EF5C8A">
              <w:rPr>
                <w:rFonts w:cs="Times New Roman"/>
                <w:sz w:val="18"/>
              </w:rPr>
              <w:t>研究；注：截至</w:t>
            </w:r>
            <w:r w:rsidR="00EF5C8A" w:rsidRPr="00EF5C8A">
              <w:rPr>
                <w:rFonts w:cs="Times New Roman"/>
                <w:sz w:val="18"/>
              </w:rPr>
              <w:t>2020/</w:t>
            </w:r>
            <w:r w:rsidR="00EF5C8A" w:rsidRPr="00814D29">
              <w:rPr>
                <w:rFonts w:cs="Times New Roman" w:hint="eastAsia"/>
                <w:sz w:val="18"/>
              </w:rPr>
              <w:t>3/</w:t>
            </w:r>
            <w:r w:rsidR="00336282">
              <w:rPr>
                <w:rFonts w:cs="Times New Roman" w:hint="eastAsia"/>
                <w:sz w:val="18"/>
              </w:rPr>
              <w:t>2</w:t>
            </w:r>
            <w:r w:rsidR="0083351F">
              <w:rPr>
                <w:rFonts w:cs="Times New Roman"/>
                <w:sz w:val="18"/>
              </w:rPr>
              <w:t>9</w:t>
            </w:r>
          </w:p>
        </w:tc>
      </w:tr>
    </w:tbl>
    <w:p w14:paraId="1ED3FFC6" w14:textId="77777777" w:rsidR="00EF5C8A" w:rsidRPr="00EF5C8A" w:rsidRDefault="00EF5C8A" w:rsidP="00EF5C8A">
      <w:pPr>
        <w:rPr>
          <w:rFonts w:cs="Times New Roman"/>
          <w:sz w:val="18"/>
          <w:szCs w:val="18"/>
        </w:rPr>
      </w:pPr>
    </w:p>
    <w:p w14:paraId="46081822" w14:textId="77777777" w:rsidR="00EF5C8A" w:rsidRPr="00EF5C8A" w:rsidRDefault="00EF5C8A" w:rsidP="00EF5C8A">
      <w:pPr>
        <w:keepNext/>
        <w:keepLines/>
        <w:spacing w:before="480" w:after="0" w:line="360" w:lineRule="auto"/>
        <w:outlineLvl w:val="0"/>
        <w:rPr>
          <w:rFonts w:cs="Times New Roman"/>
          <w:b/>
          <w:bCs/>
          <w:sz w:val="40"/>
          <w:szCs w:val="28"/>
        </w:rPr>
      </w:pPr>
      <w:r w:rsidRPr="00EF5C8A">
        <w:rPr>
          <w:rFonts w:cs="Times New Roman"/>
          <w:b/>
          <w:bCs/>
          <w:sz w:val="40"/>
          <w:szCs w:val="28"/>
        </w:rPr>
        <w:lastRenderedPageBreak/>
        <w:t>4.</w:t>
      </w:r>
      <w:r w:rsidRPr="00EF5C8A">
        <w:rPr>
          <w:rFonts w:cs="Times New Roman"/>
          <w:b/>
          <w:bCs/>
          <w:sz w:val="40"/>
          <w:szCs w:val="28"/>
        </w:rPr>
        <w:t>重要政策及动态</w:t>
      </w:r>
    </w:p>
    <w:p w14:paraId="06241E36" w14:textId="4199F6DC" w:rsidR="00EF5C8A" w:rsidRDefault="00EF5C8A" w:rsidP="00EF5C8A">
      <w:pPr>
        <w:keepNext/>
        <w:keepLines/>
        <w:spacing w:after="0" w:line="360" w:lineRule="auto"/>
        <w:outlineLvl w:val="1"/>
        <w:rPr>
          <w:rFonts w:cs="Times New Roman"/>
          <w:b/>
          <w:bCs/>
          <w:sz w:val="28"/>
          <w:szCs w:val="26"/>
        </w:rPr>
      </w:pPr>
      <w:r w:rsidRPr="00EF5C8A">
        <w:rPr>
          <w:rFonts w:cs="Times New Roman"/>
          <w:b/>
          <w:bCs/>
          <w:sz w:val="28"/>
          <w:szCs w:val="26"/>
        </w:rPr>
        <w:t>4.1</w:t>
      </w:r>
      <w:r w:rsidR="007642BA">
        <w:rPr>
          <w:rFonts w:cs="Times New Roman" w:hint="eastAsia"/>
          <w:b/>
          <w:bCs/>
          <w:sz w:val="28"/>
          <w:szCs w:val="26"/>
        </w:rPr>
        <w:t>本</w:t>
      </w:r>
      <w:r w:rsidRPr="00EF5C8A">
        <w:rPr>
          <w:rFonts w:cs="Times New Roman"/>
          <w:b/>
          <w:bCs/>
          <w:sz w:val="28"/>
          <w:szCs w:val="26"/>
        </w:rPr>
        <w:t>周重要行业政策与新闻</w:t>
      </w:r>
    </w:p>
    <w:p w14:paraId="58A1A9C9" w14:textId="2033B75D" w:rsidR="00EF5C8A" w:rsidRPr="007642BA" w:rsidRDefault="00EF5C8A" w:rsidP="00EF5C8A">
      <w:pPr>
        <w:spacing w:after="0" w:line="240" w:lineRule="auto"/>
        <w:ind w:right="21"/>
        <w:contextualSpacing/>
        <w:rPr>
          <w:rFonts w:cs="Times New Roman"/>
          <w:b/>
          <w:bCs/>
          <w:sz w:val="22"/>
          <w:szCs w:val="24"/>
        </w:rPr>
      </w:pPr>
      <w:r w:rsidRPr="00126E38">
        <w:rPr>
          <w:rFonts w:cs="Times New Roman" w:hint="eastAsia"/>
          <w:b/>
          <w:bCs/>
          <w:szCs w:val="20"/>
        </w:rPr>
        <w:t>表</w:t>
      </w:r>
      <w:r w:rsidRPr="00126E38">
        <w:rPr>
          <w:rFonts w:cs="Times New Roman" w:hint="eastAsia"/>
          <w:b/>
          <w:bCs/>
          <w:szCs w:val="20"/>
        </w:rPr>
        <w:t xml:space="preserve"> </w:t>
      </w:r>
      <w:r w:rsidRPr="00126E38">
        <w:rPr>
          <w:rFonts w:cs="Times New Roman"/>
          <w:b/>
          <w:bCs/>
          <w:szCs w:val="20"/>
        </w:rPr>
        <w:fldChar w:fldCharType="begin"/>
      </w:r>
      <w:r w:rsidRPr="00126E38">
        <w:rPr>
          <w:rFonts w:cs="Times New Roman"/>
          <w:b/>
          <w:bCs/>
          <w:szCs w:val="20"/>
        </w:rPr>
        <w:instrText xml:space="preserve"> </w:instrText>
      </w:r>
      <w:r w:rsidRPr="00126E38">
        <w:rPr>
          <w:rFonts w:cs="Times New Roman" w:hint="eastAsia"/>
          <w:b/>
          <w:bCs/>
          <w:szCs w:val="20"/>
        </w:rPr>
        <w:instrText xml:space="preserve">SEQ </w:instrText>
      </w:r>
      <w:r w:rsidRPr="00126E38">
        <w:rPr>
          <w:rFonts w:cs="Times New Roman" w:hint="eastAsia"/>
          <w:b/>
          <w:bCs/>
          <w:szCs w:val="20"/>
        </w:rPr>
        <w:instrText>表</w:instrText>
      </w:r>
      <w:r w:rsidRPr="00126E38">
        <w:rPr>
          <w:rFonts w:cs="Times New Roman" w:hint="eastAsia"/>
          <w:b/>
          <w:bCs/>
          <w:szCs w:val="20"/>
        </w:rPr>
        <w:instrText xml:space="preserve"> \* ARABIC</w:instrText>
      </w:r>
      <w:r w:rsidRPr="00126E38">
        <w:rPr>
          <w:rFonts w:cs="Times New Roman"/>
          <w:b/>
          <w:bCs/>
          <w:szCs w:val="20"/>
        </w:rPr>
        <w:instrText xml:space="preserve"> </w:instrText>
      </w:r>
      <w:r w:rsidRPr="00126E38">
        <w:rPr>
          <w:rFonts w:cs="Times New Roman"/>
          <w:b/>
          <w:bCs/>
          <w:szCs w:val="20"/>
        </w:rPr>
        <w:fldChar w:fldCharType="separate"/>
      </w:r>
      <w:r w:rsidR="00DB5785">
        <w:rPr>
          <w:rFonts w:cs="Times New Roman"/>
          <w:b/>
          <w:bCs/>
          <w:noProof/>
          <w:szCs w:val="20"/>
        </w:rPr>
        <w:t>8</w:t>
      </w:r>
      <w:r w:rsidRPr="00126E38">
        <w:rPr>
          <w:rFonts w:cs="Times New Roman"/>
          <w:b/>
          <w:bCs/>
          <w:szCs w:val="20"/>
        </w:rPr>
        <w:fldChar w:fldCharType="end"/>
      </w:r>
      <w:r w:rsidRPr="00126E38">
        <w:rPr>
          <w:rFonts w:cs="Times New Roman" w:hint="eastAsia"/>
          <w:b/>
          <w:bCs/>
          <w:szCs w:val="20"/>
        </w:rPr>
        <w:t>：</w:t>
      </w:r>
      <w:r w:rsidR="007642BA">
        <w:rPr>
          <w:rFonts w:cs="Times New Roman" w:hint="eastAsia"/>
          <w:b/>
          <w:bCs/>
          <w:szCs w:val="20"/>
        </w:rPr>
        <w:t>本</w:t>
      </w:r>
      <w:r w:rsidRPr="00126E38">
        <w:rPr>
          <w:rFonts w:cs="Times New Roman" w:hint="eastAsia"/>
          <w:b/>
          <w:bCs/>
          <w:szCs w:val="20"/>
        </w:rPr>
        <w:t>周要闻：</w:t>
      </w:r>
      <w:r w:rsidR="0083351F">
        <w:rPr>
          <w:rFonts w:cs="Times New Roman" w:hint="eastAsia"/>
          <w:b/>
          <w:bCs/>
          <w:color w:val="000000"/>
          <w:szCs w:val="21"/>
        </w:rPr>
        <w:t>央行</w:t>
      </w:r>
      <w:r w:rsidR="0083351F" w:rsidRPr="0083351F">
        <w:rPr>
          <w:rFonts w:cs="Times New Roman" w:hint="eastAsia"/>
          <w:b/>
          <w:bCs/>
          <w:color w:val="000000"/>
          <w:szCs w:val="21"/>
        </w:rPr>
        <w:t>以利率招标方式开展</w:t>
      </w:r>
      <w:r w:rsidR="0083351F" w:rsidRPr="0083351F">
        <w:rPr>
          <w:rFonts w:cs="Times New Roman" w:hint="eastAsia"/>
          <w:b/>
          <w:bCs/>
          <w:color w:val="000000"/>
          <w:szCs w:val="21"/>
        </w:rPr>
        <w:t>500</w:t>
      </w:r>
      <w:r w:rsidR="0083351F" w:rsidRPr="0083351F">
        <w:rPr>
          <w:rFonts w:cs="Times New Roman" w:hint="eastAsia"/>
          <w:b/>
          <w:bCs/>
          <w:color w:val="000000"/>
          <w:szCs w:val="21"/>
        </w:rPr>
        <w:t>亿元</w:t>
      </w:r>
      <w:r w:rsidR="0083351F" w:rsidRPr="0083351F">
        <w:rPr>
          <w:rFonts w:cs="Times New Roman" w:hint="eastAsia"/>
          <w:b/>
          <w:bCs/>
          <w:color w:val="000000"/>
          <w:szCs w:val="21"/>
        </w:rPr>
        <w:t>7</w:t>
      </w:r>
      <w:r w:rsidR="0083351F" w:rsidRPr="0083351F">
        <w:rPr>
          <w:rFonts w:cs="Times New Roman" w:hint="eastAsia"/>
          <w:b/>
          <w:bCs/>
          <w:color w:val="000000"/>
          <w:szCs w:val="21"/>
        </w:rPr>
        <w:t>天期逆回购操作，中标利率从</w:t>
      </w:r>
      <w:r w:rsidR="0083351F" w:rsidRPr="0083351F">
        <w:rPr>
          <w:rFonts w:cs="Times New Roman" w:hint="eastAsia"/>
          <w:b/>
          <w:bCs/>
          <w:color w:val="000000"/>
          <w:szCs w:val="21"/>
        </w:rPr>
        <w:t>2.4%</w:t>
      </w:r>
      <w:r w:rsidR="0083351F" w:rsidRPr="0083351F">
        <w:rPr>
          <w:rFonts w:cs="Times New Roman" w:hint="eastAsia"/>
          <w:b/>
          <w:bCs/>
          <w:color w:val="000000"/>
          <w:szCs w:val="21"/>
        </w:rPr>
        <w:t>降至</w:t>
      </w:r>
      <w:r w:rsidR="0083351F" w:rsidRPr="0083351F">
        <w:rPr>
          <w:rFonts w:cs="Times New Roman" w:hint="eastAsia"/>
          <w:b/>
          <w:bCs/>
          <w:color w:val="000000"/>
          <w:szCs w:val="21"/>
        </w:rPr>
        <w:t>2.2%</w:t>
      </w:r>
      <w:r w:rsidR="0083351F">
        <w:rPr>
          <w:rFonts w:cs="Times New Roman" w:hint="eastAsia"/>
          <w:b/>
          <w:bCs/>
          <w:color w:val="000000"/>
          <w:szCs w:val="21"/>
        </w:rPr>
        <w:t>；</w:t>
      </w:r>
      <w:r w:rsidR="00127785">
        <w:rPr>
          <w:rFonts w:cs="Times New Roman" w:hint="eastAsia"/>
          <w:b/>
          <w:bCs/>
          <w:color w:val="000000"/>
          <w:szCs w:val="21"/>
        </w:rPr>
        <w:t>央行</w:t>
      </w:r>
      <w:r w:rsidR="00127785" w:rsidRPr="00127785">
        <w:rPr>
          <w:rFonts w:cs="Times New Roman" w:hint="eastAsia"/>
          <w:b/>
          <w:bCs/>
          <w:color w:val="000000"/>
          <w:szCs w:val="21"/>
        </w:rPr>
        <w:t>自</w:t>
      </w:r>
      <w:r w:rsidR="00127785" w:rsidRPr="00127785">
        <w:rPr>
          <w:rFonts w:cs="Times New Roman" w:hint="eastAsia"/>
          <w:b/>
          <w:bCs/>
          <w:color w:val="000000"/>
          <w:szCs w:val="21"/>
        </w:rPr>
        <w:t>4</w:t>
      </w:r>
      <w:r w:rsidR="00127785" w:rsidRPr="00127785">
        <w:rPr>
          <w:rFonts w:cs="Times New Roman" w:hint="eastAsia"/>
          <w:b/>
          <w:bCs/>
          <w:color w:val="000000"/>
          <w:szCs w:val="21"/>
        </w:rPr>
        <w:t>月</w:t>
      </w:r>
      <w:r w:rsidR="00127785" w:rsidRPr="00127785">
        <w:rPr>
          <w:rFonts w:cs="Times New Roman" w:hint="eastAsia"/>
          <w:b/>
          <w:bCs/>
          <w:color w:val="000000"/>
          <w:szCs w:val="21"/>
        </w:rPr>
        <w:t>7</w:t>
      </w:r>
      <w:r w:rsidR="00127785" w:rsidRPr="00127785">
        <w:rPr>
          <w:rFonts w:cs="Times New Roman" w:hint="eastAsia"/>
          <w:b/>
          <w:bCs/>
          <w:color w:val="000000"/>
          <w:szCs w:val="21"/>
        </w:rPr>
        <w:t>日起将金融机构在央行超额存款准备金利率从</w:t>
      </w:r>
      <w:r w:rsidR="00127785" w:rsidRPr="00127785">
        <w:rPr>
          <w:rFonts w:cs="Times New Roman" w:hint="eastAsia"/>
          <w:b/>
          <w:bCs/>
          <w:color w:val="000000"/>
          <w:szCs w:val="21"/>
        </w:rPr>
        <w:t>0.72%</w:t>
      </w:r>
      <w:r w:rsidR="00127785" w:rsidRPr="00127785">
        <w:rPr>
          <w:rFonts w:cs="Times New Roman" w:hint="eastAsia"/>
          <w:b/>
          <w:bCs/>
          <w:color w:val="000000"/>
          <w:szCs w:val="21"/>
        </w:rPr>
        <w:t>下调至</w:t>
      </w:r>
      <w:r w:rsidR="00127785" w:rsidRPr="00127785">
        <w:rPr>
          <w:rFonts w:cs="Times New Roman" w:hint="eastAsia"/>
          <w:b/>
          <w:bCs/>
          <w:color w:val="000000"/>
          <w:szCs w:val="21"/>
        </w:rPr>
        <w:t>0.35%</w:t>
      </w:r>
      <w:r w:rsidR="00127785" w:rsidRPr="00127785">
        <w:rPr>
          <w:rFonts w:cs="Times New Roman" w:hint="eastAsia"/>
          <w:b/>
          <w:bCs/>
          <w:color w:val="000000"/>
          <w:szCs w:val="21"/>
        </w:rPr>
        <w:t>；同时对农村信用社、农村商业银行、农村合作银行、村镇银行和仅在省级行政区域内经营的城市商业银行定向下调存款准备金率</w:t>
      </w:r>
      <w:r w:rsidR="00127785" w:rsidRPr="00127785">
        <w:rPr>
          <w:rFonts w:cs="Times New Roman" w:hint="eastAsia"/>
          <w:b/>
          <w:bCs/>
          <w:color w:val="000000"/>
          <w:szCs w:val="21"/>
        </w:rPr>
        <w:t>1%</w:t>
      </w:r>
      <w:r w:rsidR="00127785" w:rsidRPr="00127785">
        <w:rPr>
          <w:rFonts w:cs="Times New Roman" w:hint="eastAsia"/>
          <w:b/>
          <w:bCs/>
          <w:color w:val="000000"/>
          <w:szCs w:val="21"/>
        </w:rPr>
        <w:t>，将于</w:t>
      </w:r>
      <w:r w:rsidR="00127785" w:rsidRPr="00127785">
        <w:rPr>
          <w:rFonts w:cs="Times New Roman" w:hint="eastAsia"/>
          <w:b/>
          <w:bCs/>
          <w:color w:val="000000"/>
          <w:szCs w:val="21"/>
        </w:rPr>
        <w:t>4</w:t>
      </w:r>
      <w:r w:rsidR="00127785" w:rsidRPr="00127785">
        <w:rPr>
          <w:rFonts w:cs="Times New Roman" w:hint="eastAsia"/>
          <w:b/>
          <w:bCs/>
          <w:color w:val="000000"/>
          <w:szCs w:val="21"/>
        </w:rPr>
        <w:t>月</w:t>
      </w:r>
      <w:r w:rsidR="00127785" w:rsidRPr="00127785">
        <w:rPr>
          <w:rFonts w:cs="Times New Roman" w:hint="eastAsia"/>
          <w:b/>
          <w:bCs/>
          <w:color w:val="000000"/>
          <w:szCs w:val="21"/>
        </w:rPr>
        <w:t>15</w:t>
      </w:r>
      <w:r w:rsidR="00127785" w:rsidRPr="00127785">
        <w:rPr>
          <w:rFonts w:cs="Times New Roman" w:hint="eastAsia"/>
          <w:b/>
          <w:bCs/>
          <w:color w:val="000000"/>
          <w:szCs w:val="21"/>
        </w:rPr>
        <w:t>日和</w:t>
      </w:r>
      <w:r w:rsidR="00127785" w:rsidRPr="00127785">
        <w:rPr>
          <w:rFonts w:cs="Times New Roman" w:hint="eastAsia"/>
          <w:b/>
          <w:bCs/>
          <w:color w:val="000000"/>
          <w:szCs w:val="21"/>
        </w:rPr>
        <w:t>5</w:t>
      </w:r>
      <w:r w:rsidR="00127785" w:rsidRPr="00127785">
        <w:rPr>
          <w:rFonts w:cs="Times New Roman" w:hint="eastAsia"/>
          <w:b/>
          <w:bCs/>
          <w:color w:val="000000"/>
          <w:szCs w:val="21"/>
        </w:rPr>
        <w:t>月</w:t>
      </w:r>
      <w:r w:rsidR="00127785" w:rsidRPr="00127785">
        <w:rPr>
          <w:rFonts w:cs="Times New Roman" w:hint="eastAsia"/>
          <w:b/>
          <w:bCs/>
          <w:color w:val="000000"/>
          <w:szCs w:val="21"/>
        </w:rPr>
        <w:t>15</w:t>
      </w:r>
      <w:r w:rsidR="00127785" w:rsidRPr="00127785">
        <w:rPr>
          <w:rFonts w:cs="Times New Roman" w:hint="eastAsia"/>
          <w:b/>
          <w:bCs/>
          <w:color w:val="000000"/>
          <w:szCs w:val="21"/>
        </w:rPr>
        <w:t>日分两次每次下调</w:t>
      </w:r>
      <w:r w:rsidR="00127785" w:rsidRPr="00127785">
        <w:rPr>
          <w:rFonts w:cs="Times New Roman" w:hint="eastAsia"/>
          <w:b/>
          <w:bCs/>
          <w:color w:val="000000"/>
          <w:szCs w:val="21"/>
        </w:rPr>
        <w:t>0.5%</w:t>
      </w:r>
    </w:p>
    <w:tbl>
      <w:tblPr>
        <w:tblW w:w="10206" w:type="dxa"/>
        <w:tblLook w:val="04A0" w:firstRow="1" w:lastRow="0" w:firstColumn="1" w:lastColumn="0" w:noHBand="0" w:noVBand="1"/>
      </w:tblPr>
      <w:tblGrid>
        <w:gridCol w:w="1270"/>
        <w:gridCol w:w="1940"/>
        <w:gridCol w:w="6996"/>
      </w:tblGrid>
      <w:tr w:rsidR="00EF5C8A" w:rsidRPr="007642BA" w14:paraId="1C78D305" w14:textId="77777777" w:rsidTr="0083351F">
        <w:trPr>
          <w:trHeight w:val="260"/>
        </w:trPr>
        <w:tc>
          <w:tcPr>
            <w:tcW w:w="1270" w:type="dxa"/>
            <w:tcBorders>
              <w:top w:val="single" w:sz="4" w:space="0" w:color="auto"/>
              <w:left w:val="nil"/>
              <w:bottom w:val="nil"/>
              <w:right w:val="nil"/>
            </w:tcBorders>
            <w:shd w:val="clear" w:color="000000" w:fill="EDEDED"/>
            <w:vAlign w:val="center"/>
            <w:hideMark/>
          </w:tcPr>
          <w:p w14:paraId="4CFB7C34" w14:textId="77777777" w:rsidR="00EF5C8A" w:rsidRPr="007642BA" w:rsidRDefault="00EF5C8A" w:rsidP="00EF5C8A">
            <w:pPr>
              <w:spacing w:after="0" w:line="240" w:lineRule="auto"/>
              <w:ind w:right="0"/>
              <w:jc w:val="center"/>
              <w:rPr>
                <w:rFonts w:cs="Times New Roman"/>
                <w:b/>
                <w:bCs/>
                <w:color w:val="000000"/>
                <w:szCs w:val="21"/>
              </w:rPr>
            </w:pPr>
            <w:r w:rsidRPr="007642BA">
              <w:rPr>
                <w:rFonts w:cs="Times New Roman"/>
                <w:b/>
                <w:bCs/>
                <w:color w:val="000000"/>
                <w:szCs w:val="21"/>
              </w:rPr>
              <w:t>日期</w:t>
            </w:r>
          </w:p>
        </w:tc>
        <w:tc>
          <w:tcPr>
            <w:tcW w:w="1940" w:type="dxa"/>
            <w:tcBorders>
              <w:top w:val="single" w:sz="4" w:space="0" w:color="auto"/>
              <w:left w:val="nil"/>
              <w:bottom w:val="nil"/>
              <w:right w:val="nil"/>
            </w:tcBorders>
            <w:shd w:val="clear" w:color="000000" w:fill="EDEDED"/>
            <w:vAlign w:val="center"/>
            <w:hideMark/>
          </w:tcPr>
          <w:p w14:paraId="66D8BE37" w14:textId="77777777" w:rsidR="00EF5C8A" w:rsidRPr="007642BA" w:rsidRDefault="00EF5C8A" w:rsidP="00EF5C8A">
            <w:pPr>
              <w:spacing w:after="0" w:line="240" w:lineRule="auto"/>
              <w:ind w:right="0"/>
              <w:jc w:val="center"/>
              <w:rPr>
                <w:rFonts w:cs="Times New Roman"/>
                <w:b/>
                <w:bCs/>
                <w:color w:val="000000"/>
                <w:szCs w:val="21"/>
              </w:rPr>
            </w:pPr>
            <w:r w:rsidRPr="007642BA">
              <w:rPr>
                <w:rFonts w:cs="Times New Roman"/>
                <w:b/>
                <w:bCs/>
                <w:color w:val="000000"/>
                <w:szCs w:val="21"/>
              </w:rPr>
              <w:t>对象</w:t>
            </w:r>
          </w:p>
        </w:tc>
        <w:tc>
          <w:tcPr>
            <w:tcW w:w="6996" w:type="dxa"/>
            <w:tcBorders>
              <w:top w:val="single" w:sz="4" w:space="0" w:color="auto"/>
              <w:left w:val="nil"/>
              <w:bottom w:val="nil"/>
              <w:right w:val="nil"/>
            </w:tcBorders>
            <w:shd w:val="clear" w:color="000000" w:fill="EDEDED"/>
            <w:vAlign w:val="center"/>
            <w:hideMark/>
          </w:tcPr>
          <w:p w14:paraId="24063054" w14:textId="77777777" w:rsidR="00EF5C8A" w:rsidRPr="007642BA" w:rsidRDefault="00EF5C8A" w:rsidP="00EF5C8A">
            <w:pPr>
              <w:spacing w:after="0" w:line="240" w:lineRule="auto"/>
              <w:ind w:right="0"/>
              <w:jc w:val="center"/>
              <w:rPr>
                <w:rFonts w:cs="Times New Roman"/>
                <w:b/>
                <w:bCs/>
                <w:color w:val="000000"/>
                <w:szCs w:val="21"/>
              </w:rPr>
            </w:pPr>
            <w:r w:rsidRPr="007642BA">
              <w:rPr>
                <w:rFonts w:cs="Times New Roman"/>
                <w:b/>
                <w:bCs/>
                <w:color w:val="000000"/>
                <w:szCs w:val="21"/>
              </w:rPr>
              <w:t>简述</w:t>
            </w:r>
          </w:p>
        </w:tc>
      </w:tr>
      <w:tr w:rsidR="0083351F" w:rsidRPr="0083351F" w14:paraId="78BA97A5"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6F2DEC6C"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2020-03-30</w:t>
            </w:r>
          </w:p>
        </w:tc>
        <w:tc>
          <w:tcPr>
            <w:tcW w:w="1940" w:type="dxa"/>
            <w:tcBorders>
              <w:top w:val="single" w:sz="4" w:space="0" w:color="auto"/>
              <w:left w:val="nil"/>
              <w:bottom w:val="single" w:sz="4" w:space="0" w:color="auto"/>
              <w:right w:val="nil"/>
            </w:tcBorders>
            <w:shd w:val="clear" w:color="auto" w:fill="auto"/>
            <w:noWrap/>
            <w:vAlign w:val="center"/>
            <w:hideMark/>
          </w:tcPr>
          <w:p w14:paraId="4FD3CE97"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央行</w:t>
            </w:r>
          </w:p>
        </w:tc>
        <w:tc>
          <w:tcPr>
            <w:tcW w:w="6996" w:type="dxa"/>
            <w:tcBorders>
              <w:top w:val="single" w:sz="4" w:space="0" w:color="auto"/>
              <w:left w:val="nil"/>
              <w:bottom w:val="single" w:sz="4" w:space="0" w:color="auto"/>
              <w:right w:val="nil"/>
            </w:tcBorders>
            <w:shd w:val="clear" w:color="auto" w:fill="auto"/>
            <w:vAlign w:val="center"/>
            <w:hideMark/>
          </w:tcPr>
          <w:p w14:paraId="0BA94B4E"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hint="eastAsia"/>
                <w:color w:val="000000"/>
                <w:szCs w:val="21"/>
              </w:rPr>
              <w:t>以利率招标方式开展</w:t>
            </w:r>
            <w:r w:rsidRPr="0083351F">
              <w:rPr>
                <w:rFonts w:cs="Times New Roman"/>
                <w:color w:val="000000"/>
                <w:szCs w:val="21"/>
              </w:rPr>
              <w:t>500</w:t>
            </w:r>
            <w:r w:rsidRPr="0083351F">
              <w:rPr>
                <w:rFonts w:cs="Times New Roman" w:hint="eastAsia"/>
                <w:color w:val="000000"/>
                <w:szCs w:val="21"/>
              </w:rPr>
              <w:t>亿元</w:t>
            </w:r>
            <w:r w:rsidRPr="0083351F">
              <w:rPr>
                <w:rFonts w:cs="Times New Roman"/>
                <w:color w:val="000000"/>
                <w:szCs w:val="21"/>
              </w:rPr>
              <w:t>7</w:t>
            </w:r>
            <w:r w:rsidRPr="0083351F">
              <w:rPr>
                <w:rFonts w:cs="Times New Roman" w:hint="eastAsia"/>
                <w:color w:val="000000"/>
                <w:szCs w:val="21"/>
              </w:rPr>
              <w:t>天期逆回购操作，中标利率从</w:t>
            </w:r>
            <w:r w:rsidRPr="0083351F">
              <w:rPr>
                <w:rFonts w:cs="Times New Roman"/>
                <w:color w:val="000000"/>
                <w:szCs w:val="21"/>
              </w:rPr>
              <w:t>2.4%</w:t>
            </w:r>
            <w:r w:rsidRPr="0083351F">
              <w:rPr>
                <w:rFonts w:cs="Times New Roman" w:hint="eastAsia"/>
                <w:color w:val="000000"/>
                <w:szCs w:val="21"/>
              </w:rPr>
              <w:t>降至</w:t>
            </w:r>
            <w:r w:rsidRPr="0083351F">
              <w:rPr>
                <w:rFonts w:cs="Times New Roman"/>
                <w:color w:val="000000"/>
                <w:szCs w:val="21"/>
              </w:rPr>
              <w:t>2.2%</w:t>
            </w:r>
            <w:r w:rsidRPr="0083351F">
              <w:rPr>
                <w:rFonts w:cs="Times New Roman" w:hint="eastAsia"/>
                <w:color w:val="000000"/>
                <w:szCs w:val="21"/>
              </w:rPr>
              <w:t>。</w:t>
            </w:r>
          </w:p>
        </w:tc>
      </w:tr>
      <w:tr w:rsidR="0083351F" w:rsidRPr="0083351F" w14:paraId="1CDDFA6C"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29588A81"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2020-03-30</w:t>
            </w:r>
          </w:p>
        </w:tc>
        <w:tc>
          <w:tcPr>
            <w:tcW w:w="1940" w:type="dxa"/>
            <w:tcBorders>
              <w:top w:val="single" w:sz="4" w:space="0" w:color="auto"/>
              <w:left w:val="nil"/>
              <w:bottom w:val="single" w:sz="4" w:space="0" w:color="auto"/>
              <w:right w:val="nil"/>
            </w:tcBorders>
            <w:shd w:val="clear" w:color="auto" w:fill="auto"/>
            <w:noWrap/>
            <w:vAlign w:val="center"/>
            <w:hideMark/>
          </w:tcPr>
          <w:p w14:paraId="44C6508D"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珠海</w:t>
            </w:r>
          </w:p>
        </w:tc>
        <w:tc>
          <w:tcPr>
            <w:tcW w:w="6996" w:type="dxa"/>
            <w:tcBorders>
              <w:top w:val="single" w:sz="4" w:space="0" w:color="auto"/>
              <w:left w:val="nil"/>
              <w:bottom w:val="single" w:sz="4" w:space="0" w:color="auto"/>
              <w:right w:val="nil"/>
            </w:tcBorders>
            <w:shd w:val="clear" w:color="auto" w:fill="auto"/>
            <w:vAlign w:val="center"/>
            <w:hideMark/>
          </w:tcPr>
          <w:p w14:paraId="070D1B53"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color w:val="000000"/>
                <w:szCs w:val="21"/>
              </w:rPr>
              <w:t>3</w:t>
            </w:r>
            <w:r w:rsidRPr="0083351F">
              <w:rPr>
                <w:rFonts w:cs="Times New Roman" w:hint="eastAsia"/>
                <w:color w:val="000000"/>
                <w:szCs w:val="21"/>
              </w:rPr>
              <w:t>月</w:t>
            </w:r>
            <w:r w:rsidRPr="0083351F">
              <w:rPr>
                <w:rFonts w:cs="Times New Roman"/>
                <w:color w:val="000000"/>
                <w:szCs w:val="21"/>
              </w:rPr>
              <w:t>19</w:t>
            </w:r>
            <w:r w:rsidRPr="0083351F">
              <w:rPr>
                <w:rFonts w:cs="Times New Roman" w:hint="eastAsia"/>
                <w:color w:val="000000"/>
                <w:szCs w:val="21"/>
              </w:rPr>
              <w:t>日起至疫情防控期结束后</w:t>
            </w:r>
            <w:r w:rsidRPr="0083351F">
              <w:rPr>
                <w:rFonts w:cs="Times New Roman"/>
                <w:color w:val="000000"/>
                <w:szCs w:val="21"/>
              </w:rPr>
              <w:t>3</w:t>
            </w:r>
            <w:r w:rsidRPr="0083351F">
              <w:rPr>
                <w:rFonts w:cs="Times New Roman" w:hint="eastAsia"/>
                <w:color w:val="000000"/>
                <w:szCs w:val="21"/>
              </w:rPr>
              <w:t>个月内，房地产开发项目城市基础设施配套费可延期</w:t>
            </w:r>
            <w:r w:rsidRPr="0083351F">
              <w:rPr>
                <w:rFonts w:cs="Times New Roman"/>
                <w:color w:val="000000"/>
                <w:szCs w:val="21"/>
              </w:rPr>
              <w:t>3</w:t>
            </w:r>
            <w:r w:rsidRPr="0083351F">
              <w:rPr>
                <w:rFonts w:cs="Times New Roman" w:hint="eastAsia"/>
                <w:color w:val="000000"/>
                <w:szCs w:val="21"/>
              </w:rPr>
              <w:t>个月缴纳。</w:t>
            </w:r>
          </w:p>
        </w:tc>
      </w:tr>
      <w:tr w:rsidR="0083351F" w:rsidRPr="0083351F" w14:paraId="6C1DA983"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0ADCCEB7"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2020-03-30</w:t>
            </w:r>
          </w:p>
        </w:tc>
        <w:tc>
          <w:tcPr>
            <w:tcW w:w="1940" w:type="dxa"/>
            <w:tcBorders>
              <w:top w:val="single" w:sz="4" w:space="0" w:color="auto"/>
              <w:left w:val="nil"/>
              <w:bottom w:val="single" w:sz="4" w:space="0" w:color="auto"/>
              <w:right w:val="nil"/>
            </w:tcBorders>
            <w:shd w:val="clear" w:color="auto" w:fill="auto"/>
            <w:noWrap/>
            <w:vAlign w:val="center"/>
            <w:hideMark/>
          </w:tcPr>
          <w:p w14:paraId="53F2EEE9"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贵阳</w:t>
            </w:r>
          </w:p>
        </w:tc>
        <w:tc>
          <w:tcPr>
            <w:tcW w:w="6996" w:type="dxa"/>
            <w:tcBorders>
              <w:top w:val="single" w:sz="4" w:space="0" w:color="auto"/>
              <w:left w:val="nil"/>
              <w:bottom w:val="single" w:sz="4" w:space="0" w:color="auto"/>
              <w:right w:val="nil"/>
            </w:tcBorders>
            <w:shd w:val="clear" w:color="auto" w:fill="auto"/>
            <w:vAlign w:val="center"/>
            <w:hideMark/>
          </w:tcPr>
          <w:p w14:paraId="29C455D6"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hint="eastAsia"/>
                <w:color w:val="000000"/>
                <w:szCs w:val="21"/>
              </w:rPr>
              <w:t>严禁房地产开发企业、房地产中介机构违规提供购房首付融资。</w:t>
            </w:r>
          </w:p>
        </w:tc>
      </w:tr>
      <w:tr w:rsidR="0083351F" w:rsidRPr="0083351F" w14:paraId="759B626E"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48FCFE53"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2020-03-30</w:t>
            </w:r>
          </w:p>
        </w:tc>
        <w:tc>
          <w:tcPr>
            <w:tcW w:w="1940" w:type="dxa"/>
            <w:tcBorders>
              <w:top w:val="single" w:sz="4" w:space="0" w:color="auto"/>
              <w:left w:val="nil"/>
              <w:bottom w:val="single" w:sz="4" w:space="0" w:color="auto"/>
              <w:right w:val="nil"/>
            </w:tcBorders>
            <w:shd w:val="clear" w:color="auto" w:fill="auto"/>
            <w:noWrap/>
            <w:vAlign w:val="center"/>
            <w:hideMark/>
          </w:tcPr>
          <w:p w14:paraId="2CB59A2F"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成渝</w:t>
            </w:r>
          </w:p>
        </w:tc>
        <w:tc>
          <w:tcPr>
            <w:tcW w:w="6996" w:type="dxa"/>
            <w:tcBorders>
              <w:top w:val="single" w:sz="4" w:space="0" w:color="auto"/>
              <w:left w:val="nil"/>
              <w:bottom w:val="single" w:sz="4" w:space="0" w:color="auto"/>
              <w:right w:val="nil"/>
            </w:tcBorders>
            <w:shd w:val="clear" w:color="auto" w:fill="auto"/>
            <w:vAlign w:val="center"/>
            <w:hideMark/>
          </w:tcPr>
          <w:p w14:paraId="4DE8C35B"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hint="eastAsia"/>
                <w:color w:val="000000"/>
                <w:szCs w:val="21"/>
              </w:rPr>
              <w:t>初步建立跨区域转移接续和互认互</w:t>
            </w:r>
            <w:proofErr w:type="gramStart"/>
            <w:r w:rsidRPr="0083351F">
              <w:rPr>
                <w:rFonts w:cs="Times New Roman" w:hint="eastAsia"/>
                <w:color w:val="000000"/>
                <w:szCs w:val="21"/>
              </w:rPr>
              <w:t>贷机</w:t>
            </w:r>
            <w:proofErr w:type="gramEnd"/>
            <w:r w:rsidRPr="0083351F">
              <w:rPr>
                <w:rFonts w:cs="Times New Roman" w:hint="eastAsia"/>
                <w:color w:val="000000"/>
                <w:szCs w:val="21"/>
              </w:rPr>
              <w:t>制，职工在成渝地区间转移住房公积金的，由</w:t>
            </w:r>
            <w:r w:rsidRPr="0083351F">
              <w:rPr>
                <w:rFonts w:cs="Times New Roman"/>
                <w:color w:val="000000"/>
                <w:szCs w:val="21"/>
              </w:rPr>
              <w:t>“</w:t>
            </w:r>
            <w:r w:rsidRPr="0083351F">
              <w:rPr>
                <w:rFonts w:cs="Times New Roman" w:hint="eastAsia"/>
                <w:color w:val="000000"/>
                <w:szCs w:val="21"/>
              </w:rPr>
              <w:t>两地跑</w:t>
            </w:r>
            <w:r w:rsidRPr="0083351F">
              <w:rPr>
                <w:rFonts w:cs="Times New Roman"/>
                <w:color w:val="000000"/>
                <w:szCs w:val="21"/>
              </w:rPr>
              <w:t>”</w:t>
            </w:r>
            <w:r w:rsidRPr="0083351F">
              <w:rPr>
                <w:rFonts w:cs="Times New Roman" w:hint="eastAsia"/>
                <w:color w:val="000000"/>
                <w:szCs w:val="21"/>
              </w:rPr>
              <w:t>变为</w:t>
            </w:r>
            <w:r w:rsidRPr="0083351F">
              <w:rPr>
                <w:rFonts w:cs="Times New Roman"/>
                <w:color w:val="000000"/>
                <w:szCs w:val="21"/>
              </w:rPr>
              <w:t>“</w:t>
            </w:r>
            <w:r w:rsidRPr="0083351F">
              <w:rPr>
                <w:rFonts w:cs="Times New Roman" w:hint="eastAsia"/>
                <w:color w:val="000000"/>
                <w:szCs w:val="21"/>
              </w:rPr>
              <w:t>一地办</w:t>
            </w:r>
            <w:r w:rsidRPr="0083351F">
              <w:rPr>
                <w:rFonts w:cs="Times New Roman"/>
                <w:color w:val="000000"/>
                <w:szCs w:val="21"/>
              </w:rPr>
              <w:t>”</w:t>
            </w:r>
            <w:r w:rsidRPr="0083351F">
              <w:rPr>
                <w:rFonts w:cs="Times New Roman" w:hint="eastAsia"/>
                <w:color w:val="000000"/>
                <w:szCs w:val="21"/>
              </w:rPr>
              <w:t>。</w:t>
            </w:r>
          </w:p>
        </w:tc>
      </w:tr>
      <w:tr w:rsidR="0083351F" w:rsidRPr="0083351F" w14:paraId="28888D0F"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651C1723"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2020-03-30</w:t>
            </w:r>
          </w:p>
        </w:tc>
        <w:tc>
          <w:tcPr>
            <w:tcW w:w="1940" w:type="dxa"/>
            <w:tcBorders>
              <w:top w:val="single" w:sz="4" w:space="0" w:color="auto"/>
              <w:left w:val="nil"/>
              <w:bottom w:val="single" w:sz="4" w:space="0" w:color="auto"/>
              <w:right w:val="nil"/>
            </w:tcBorders>
            <w:shd w:val="clear" w:color="auto" w:fill="auto"/>
            <w:noWrap/>
            <w:vAlign w:val="center"/>
            <w:hideMark/>
          </w:tcPr>
          <w:p w14:paraId="01B07941"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柳州</w:t>
            </w:r>
          </w:p>
        </w:tc>
        <w:tc>
          <w:tcPr>
            <w:tcW w:w="6996" w:type="dxa"/>
            <w:tcBorders>
              <w:top w:val="single" w:sz="4" w:space="0" w:color="auto"/>
              <w:left w:val="nil"/>
              <w:bottom w:val="single" w:sz="4" w:space="0" w:color="auto"/>
              <w:right w:val="nil"/>
            </w:tcBorders>
            <w:shd w:val="clear" w:color="auto" w:fill="auto"/>
            <w:vAlign w:val="center"/>
            <w:hideMark/>
          </w:tcPr>
          <w:p w14:paraId="6A28566D"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hint="eastAsia"/>
                <w:color w:val="000000"/>
                <w:szCs w:val="21"/>
              </w:rPr>
              <w:t>在继续加强房价调控的同时，降低开发、预售条件，同时购房首付比例下调为首套房</w:t>
            </w:r>
            <w:r w:rsidRPr="0083351F">
              <w:rPr>
                <w:rFonts w:cs="Times New Roman"/>
                <w:color w:val="000000"/>
                <w:szCs w:val="21"/>
              </w:rPr>
              <w:t>20%</w:t>
            </w:r>
            <w:r w:rsidRPr="0083351F">
              <w:rPr>
                <w:rFonts w:cs="Times New Roman" w:hint="eastAsia"/>
                <w:color w:val="000000"/>
                <w:szCs w:val="21"/>
              </w:rPr>
              <w:t>、二套房</w:t>
            </w:r>
            <w:r w:rsidRPr="0083351F">
              <w:rPr>
                <w:rFonts w:cs="Times New Roman"/>
                <w:color w:val="000000"/>
                <w:szCs w:val="21"/>
              </w:rPr>
              <w:t>30%</w:t>
            </w:r>
            <w:r w:rsidRPr="0083351F">
              <w:rPr>
                <w:rFonts w:cs="Times New Roman" w:hint="eastAsia"/>
                <w:color w:val="000000"/>
                <w:szCs w:val="21"/>
              </w:rPr>
              <w:t>。</w:t>
            </w:r>
          </w:p>
        </w:tc>
      </w:tr>
      <w:tr w:rsidR="0083351F" w:rsidRPr="0083351F" w14:paraId="6364EB19"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199853CA"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2020-04-01</w:t>
            </w:r>
          </w:p>
        </w:tc>
        <w:tc>
          <w:tcPr>
            <w:tcW w:w="1940" w:type="dxa"/>
            <w:tcBorders>
              <w:top w:val="single" w:sz="4" w:space="0" w:color="auto"/>
              <w:left w:val="nil"/>
              <w:bottom w:val="single" w:sz="4" w:space="0" w:color="auto"/>
              <w:right w:val="nil"/>
            </w:tcBorders>
            <w:shd w:val="clear" w:color="auto" w:fill="auto"/>
            <w:noWrap/>
            <w:vAlign w:val="center"/>
            <w:hideMark/>
          </w:tcPr>
          <w:p w14:paraId="03D32FF9"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黑龙江</w:t>
            </w:r>
          </w:p>
        </w:tc>
        <w:tc>
          <w:tcPr>
            <w:tcW w:w="6996" w:type="dxa"/>
            <w:tcBorders>
              <w:top w:val="single" w:sz="4" w:space="0" w:color="auto"/>
              <w:left w:val="nil"/>
              <w:bottom w:val="single" w:sz="4" w:space="0" w:color="auto"/>
              <w:right w:val="nil"/>
            </w:tcBorders>
            <w:shd w:val="clear" w:color="auto" w:fill="auto"/>
            <w:vAlign w:val="center"/>
            <w:hideMark/>
          </w:tcPr>
          <w:p w14:paraId="57E410CA"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hint="eastAsia"/>
                <w:color w:val="000000"/>
                <w:szCs w:val="21"/>
              </w:rPr>
              <w:t>增加异地公积金贷款及贷款审核和发放时限等新</w:t>
            </w:r>
            <w:proofErr w:type="gramStart"/>
            <w:r w:rsidRPr="0083351F">
              <w:rPr>
                <w:rFonts w:cs="Times New Roman" w:hint="eastAsia"/>
                <w:color w:val="000000"/>
                <w:szCs w:val="21"/>
              </w:rPr>
              <w:t>规</w:t>
            </w:r>
            <w:proofErr w:type="gramEnd"/>
            <w:r w:rsidRPr="0083351F">
              <w:rPr>
                <w:rFonts w:cs="Times New Roman" w:hint="eastAsia"/>
                <w:color w:val="000000"/>
                <w:szCs w:val="21"/>
              </w:rPr>
              <w:t>。</w:t>
            </w:r>
          </w:p>
        </w:tc>
      </w:tr>
      <w:tr w:rsidR="0083351F" w:rsidRPr="0083351F" w14:paraId="510D45F0"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319C167E"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2020-04-01</w:t>
            </w:r>
          </w:p>
        </w:tc>
        <w:tc>
          <w:tcPr>
            <w:tcW w:w="1940" w:type="dxa"/>
            <w:tcBorders>
              <w:top w:val="single" w:sz="4" w:space="0" w:color="auto"/>
              <w:left w:val="nil"/>
              <w:bottom w:val="single" w:sz="4" w:space="0" w:color="auto"/>
              <w:right w:val="nil"/>
            </w:tcBorders>
            <w:shd w:val="clear" w:color="auto" w:fill="auto"/>
            <w:noWrap/>
            <w:vAlign w:val="center"/>
            <w:hideMark/>
          </w:tcPr>
          <w:p w14:paraId="4C17B5A4"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嘉兴</w:t>
            </w:r>
          </w:p>
        </w:tc>
        <w:tc>
          <w:tcPr>
            <w:tcW w:w="6996" w:type="dxa"/>
            <w:tcBorders>
              <w:top w:val="single" w:sz="4" w:space="0" w:color="auto"/>
              <w:left w:val="nil"/>
              <w:bottom w:val="single" w:sz="4" w:space="0" w:color="auto"/>
              <w:right w:val="nil"/>
            </w:tcBorders>
            <w:shd w:val="clear" w:color="auto" w:fill="auto"/>
            <w:vAlign w:val="center"/>
            <w:hideMark/>
          </w:tcPr>
          <w:p w14:paraId="44A03490"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hint="eastAsia"/>
                <w:color w:val="000000"/>
                <w:szCs w:val="21"/>
              </w:rPr>
              <w:t>购买新建商品房、二手房贷款期限最长为</w:t>
            </w:r>
            <w:r w:rsidRPr="0083351F">
              <w:rPr>
                <w:rFonts w:cs="Times New Roman"/>
                <w:color w:val="000000"/>
                <w:szCs w:val="21"/>
              </w:rPr>
              <w:t>30</w:t>
            </w:r>
            <w:r w:rsidRPr="0083351F">
              <w:rPr>
                <w:rFonts w:cs="Times New Roman" w:hint="eastAsia"/>
                <w:color w:val="000000"/>
                <w:szCs w:val="21"/>
              </w:rPr>
              <w:t>年，房龄加贷款年限不超过</w:t>
            </w:r>
            <w:r w:rsidRPr="0083351F">
              <w:rPr>
                <w:rFonts w:cs="Times New Roman"/>
                <w:color w:val="000000"/>
                <w:szCs w:val="21"/>
              </w:rPr>
              <w:t>50</w:t>
            </w:r>
            <w:r w:rsidRPr="0083351F">
              <w:rPr>
                <w:rFonts w:cs="Times New Roman" w:hint="eastAsia"/>
                <w:color w:val="000000"/>
                <w:szCs w:val="21"/>
              </w:rPr>
              <w:t>年且不超过该住房土地使用年限等。</w:t>
            </w:r>
          </w:p>
        </w:tc>
      </w:tr>
      <w:tr w:rsidR="0083351F" w:rsidRPr="0083351F" w14:paraId="7038F064"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0540E8ED"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2020-04-02</w:t>
            </w:r>
          </w:p>
        </w:tc>
        <w:tc>
          <w:tcPr>
            <w:tcW w:w="1940" w:type="dxa"/>
            <w:tcBorders>
              <w:top w:val="single" w:sz="4" w:space="0" w:color="auto"/>
              <w:left w:val="nil"/>
              <w:bottom w:val="single" w:sz="4" w:space="0" w:color="auto"/>
              <w:right w:val="nil"/>
            </w:tcBorders>
            <w:shd w:val="clear" w:color="auto" w:fill="auto"/>
            <w:noWrap/>
            <w:vAlign w:val="center"/>
            <w:hideMark/>
          </w:tcPr>
          <w:p w14:paraId="26346C52"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岳阳</w:t>
            </w:r>
          </w:p>
        </w:tc>
        <w:tc>
          <w:tcPr>
            <w:tcW w:w="6996" w:type="dxa"/>
            <w:tcBorders>
              <w:top w:val="single" w:sz="4" w:space="0" w:color="auto"/>
              <w:left w:val="nil"/>
              <w:bottom w:val="single" w:sz="4" w:space="0" w:color="auto"/>
              <w:right w:val="nil"/>
            </w:tcBorders>
            <w:shd w:val="clear" w:color="auto" w:fill="auto"/>
            <w:vAlign w:val="center"/>
            <w:hideMark/>
          </w:tcPr>
          <w:p w14:paraId="442C3D50"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hint="eastAsia"/>
                <w:color w:val="000000"/>
                <w:szCs w:val="21"/>
              </w:rPr>
              <w:t>从金融支持、税款和土地出让款及报建费缴纳、预售许可和预售款拨付等方面，支持楼市平稳健康发展。</w:t>
            </w:r>
          </w:p>
        </w:tc>
      </w:tr>
      <w:tr w:rsidR="0083351F" w:rsidRPr="0083351F" w14:paraId="586B6FCC"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536B0D5C"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2020-04-02</w:t>
            </w:r>
          </w:p>
        </w:tc>
        <w:tc>
          <w:tcPr>
            <w:tcW w:w="1940" w:type="dxa"/>
            <w:tcBorders>
              <w:top w:val="single" w:sz="4" w:space="0" w:color="auto"/>
              <w:left w:val="nil"/>
              <w:bottom w:val="single" w:sz="4" w:space="0" w:color="auto"/>
              <w:right w:val="nil"/>
            </w:tcBorders>
            <w:shd w:val="clear" w:color="auto" w:fill="auto"/>
            <w:noWrap/>
            <w:vAlign w:val="center"/>
            <w:hideMark/>
          </w:tcPr>
          <w:p w14:paraId="4CEC64F4"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贵阳</w:t>
            </w:r>
          </w:p>
        </w:tc>
        <w:tc>
          <w:tcPr>
            <w:tcW w:w="6996" w:type="dxa"/>
            <w:tcBorders>
              <w:top w:val="single" w:sz="4" w:space="0" w:color="auto"/>
              <w:left w:val="nil"/>
              <w:bottom w:val="single" w:sz="4" w:space="0" w:color="auto"/>
              <w:right w:val="nil"/>
            </w:tcBorders>
            <w:shd w:val="clear" w:color="auto" w:fill="auto"/>
            <w:vAlign w:val="center"/>
            <w:hideMark/>
          </w:tcPr>
          <w:p w14:paraId="23E9B903"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hint="eastAsia"/>
                <w:color w:val="000000"/>
                <w:szCs w:val="21"/>
              </w:rPr>
              <w:t>将针对房地产市场中出现的首付分期、</w:t>
            </w:r>
            <w:proofErr w:type="gramStart"/>
            <w:r w:rsidRPr="0083351F">
              <w:rPr>
                <w:rFonts w:cs="Times New Roman" w:hint="eastAsia"/>
                <w:color w:val="000000"/>
                <w:szCs w:val="21"/>
              </w:rPr>
              <w:t>返现等</w:t>
            </w:r>
            <w:proofErr w:type="gramEnd"/>
            <w:r w:rsidRPr="0083351F">
              <w:rPr>
                <w:rFonts w:cs="Times New Roman" w:hint="eastAsia"/>
                <w:color w:val="000000"/>
                <w:szCs w:val="21"/>
              </w:rPr>
              <w:t>过度营销方式做出更为严格的监管，违法违规行为将受到严厉处罚。</w:t>
            </w:r>
          </w:p>
        </w:tc>
      </w:tr>
      <w:tr w:rsidR="0083351F" w:rsidRPr="0083351F" w14:paraId="52148CDB"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2CACB86E"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2020-04-03</w:t>
            </w:r>
          </w:p>
        </w:tc>
        <w:tc>
          <w:tcPr>
            <w:tcW w:w="1940" w:type="dxa"/>
            <w:tcBorders>
              <w:top w:val="single" w:sz="4" w:space="0" w:color="auto"/>
              <w:left w:val="nil"/>
              <w:bottom w:val="single" w:sz="4" w:space="0" w:color="auto"/>
              <w:right w:val="nil"/>
            </w:tcBorders>
            <w:shd w:val="clear" w:color="auto" w:fill="auto"/>
            <w:noWrap/>
            <w:vAlign w:val="center"/>
            <w:hideMark/>
          </w:tcPr>
          <w:p w14:paraId="792C2D33"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央行</w:t>
            </w:r>
          </w:p>
        </w:tc>
        <w:tc>
          <w:tcPr>
            <w:tcW w:w="6996" w:type="dxa"/>
            <w:tcBorders>
              <w:top w:val="single" w:sz="4" w:space="0" w:color="auto"/>
              <w:left w:val="nil"/>
              <w:bottom w:val="single" w:sz="4" w:space="0" w:color="auto"/>
              <w:right w:val="nil"/>
            </w:tcBorders>
            <w:shd w:val="clear" w:color="auto" w:fill="auto"/>
            <w:vAlign w:val="center"/>
            <w:hideMark/>
          </w:tcPr>
          <w:p w14:paraId="2ECEE42E"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hint="eastAsia"/>
                <w:color w:val="000000"/>
                <w:szCs w:val="21"/>
              </w:rPr>
              <w:t>自</w:t>
            </w:r>
            <w:r w:rsidRPr="0083351F">
              <w:rPr>
                <w:rFonts w:cs="Times New Roman"/>
                <w:color w:val="000000"/>
                <w:szCs w:val="21"/>
              </w:rPr>
              <w:t>4</w:t>
            </w:r>
            <w:r w:rsidRPr="0083351F">
              <w:rPr>
                <w:rFonts w:cs="Times New Roman" w:hint="eastAsia"/>
                <w:color w:val="000000"/>
                <w:szCs w:val="21"/>
              </w:rPr>
              <w:t>月</w:t>
            </w:r>
            <w:r w:rsidRPr="0083351F">
              <w:rPr>
                <w:rFonts w:cs="Times New Roman"/>
                <w:color w:val="000000"/>
                <w:szCs w:val="21"/>
              </w:rPr>
              <w:t>7</w:t>
            </w:r>
            <w:r w:rsidRPr="0083351F">
              <w:rPr>
                <w:rFonts w:cs="Times New Roman" w:hint="eastAsia"/>
                <w:color w:val="000000"/>
                <w:szCs w:val="21"/>
              </w:rPr>
              <w:t>日起将金融机构在央行超额存款准备金利率从</w:t>
            </w:r>
            <w:r w:rsidRPr="0083351F">
              <w:rPr>
                <w:rFonts w:cs="Times New Roman"/>
                <w:color w:val="000000"/>
                <w:szCs w:val="21"/>
              </w:rPr>
              <w:t>0.72%</w:t>
            </w:r>
            <w:r w:rsidRPr="0083351F">
              <w:rPr>
                <w:rFonts w:cs="Times New Roman" w:hint="eastAsia"/>
                <w:color w:val="000000"/>
                <w:szCs w:val="21"/>
              </w:rPr>
              <w:t>下调至</w:t>
            </w:r>
            <w:r w:rsidRPr="0083351F">
              <w:rPr>
                <w:rFonts w:cs="Times New Roman"/>
                <w:color w:val="000000"/>
                <w:szCs w:val="21"/>
              </w:rPr>
              <w:t>0.35%</w:t>
            </w:r>
            <w:r w:rsidRPr="0083351F">
              <w:rPr>
                <w:rFonts w:cs="Times New Roman" w:hint="eastAsia"/>
                <w:color w:val="000000"/>
                <w:szCs w:val="21"/>
              </w:rPr>
              <w:t>；同时对农村信用社、农村商业银行、农村合作银行、村镇银行和仅在省级行政区域内经营的城市商业银行定向下调存款准备金率</w:t>
            </w:r>
            <w:r w:rsidRPr="0083351F">
              <w:rPr>
                <w:rFonts w:cs="Times New Roman"/>
                <w:color w:val="000000"/>
                <w:szCs w:val="21"/>
              </w:rPr>
              <w:t>1%</w:t>
            </w:r>
            <w:r w:rsidRPr="0083351F">
              <w:rPr>
                <w:rFonts w:cs="Times New Roman" w:hint="eastAsia"/>
                <w:color w:val="000000"/>
                <w:szCs w:val="21"/>
              </w:rPr>
              <w:t>，将于</w:t>
            </w:r>
            <w:r w:rsidRPr="0083351F">
              <w:rPr>
                <w:rFonts w:cs="Times New Roman"/>
                <w:color w:val="000000"/>
                <w:szCs w:val="21"/>
              </w:rPr>
              <w:t>4</w:t>
            </w:r>
            <w:r w:rsidRPr="0083351F">
              <w:rPr>
                <w:rFonts w:cs="Times New Roman" w:hint="eastAsia"/>
                <w:color w:val="000000"/>
                <w:szCs w:val="21"/>
              </w:rPr>
              <w:t>月</w:t>
            </w:r>
            <w:r w:rsidRPr="0083351F">
              <w:rPr>
                <w:rFonts w:cs="Times New Roman"/>
                <w:color w:val="000000"/>
                <w:szCs w:val="21"/>
              </w:rPr>
              <w:t>15</w:t>
            </w:r>
            <w:r w:rsidRPr="0083351F">
              <w:rPr>
                <w:rFonts w:cs="Times New Roman" w:hint="eastAsia"/>
                <w:color w:val="000000"/>
                <w:szCs w:val="21"/>
              </w:rPr>
              <w:t>日和</w:t>
            </w:r>
            <w:r w:rsidRPr="0083351F">
              <w:rPr>
                <w:rFonts w:cs="Times New Roman"/>
                <w:color w:val="000000"/>
                <w:szCs w:val="21"/>
              </w:rPr>
              <w:t>5</w:t>
            </w:r>
            <w:r w:rsidRPr="0083351F">
              <w:rPr>
                <w:rFonts w:cs="Times New Roman" w:hint="eastAsia"/>
                <w:color w:val="000000"/>
                <w:szCs w:val="21"/>
              </w:rPr>
              <w:t>月</w:t>
            </w:r>
            <w:r w:rsidRPr="0083351F">
              <w:rPr>
                <w:rFonts w:cs="Times New Roman"/>
                <w:color w:val="000000"/>
                <w:szCs w:val="21"/>
              </w:rPr>
              <w:t>15</w:t>
            </w:r>
            <w:r w:rsidRPr="0083351F">
              <w:rPr>
                <w:rFonts w:cs="Times New Roman" w:hint="eastAsia"/>
                <w:color w:val="000000"/>
                <w:szCs w:val="21"/>
              </w:rPr>
              <w:t>日分两次每次下调</w:t>
            </w:r>
            <w:r w:rsidRPr="0083351F">
              <w:rPr>
                <w:rFonts w:cs="Times New Roman"/>
                <w:color w:val="000000"/>
                <w:szCs w:val="21"/>
              </w:rPr>
              <w:t>0.5%</w:t>
            </w:r>
            <w:r w:rsidRPr="0083351F">
              <w:rPr>
                <w:rFonts w:cs="Times New Roman" w:hint="eastAsia"/>
                <w:color w:val="000000"/>
                <w:szCs w:val="21"/>
              </w:rPr>
              <w:t>。</w:t>
            </w:r>
          </w:p>
        </w:tc>
      </w:tr>
      <w:tr w:rsidR="0083351F" w:rsidRPr="0083351F" w14:paraId="42799EA3"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796C86B8"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2020-04-03</w:t>
            </w:r>
          </w:p>
        </w:tc>
        <w:tc>
          <w:tcPr>
            <w:tcW w:w="1940" w:type="dxa"/>
            <w:tcBorders>
              <w:top w:val="single" w:sz="4" w:space="0" w:color="auto"/>
              <w:left w:val="nil"/>
              <w:bottom w:val="single" w:sz="4" w:space="0" w:color="auto"/>
              <w:right w:val="nil"/>
            </w:tcBorders>
            <w:shd w:val="clear" w:color="auto" w:fill="auto"/>
            <w:noWrap/>
            <w:vAlign w:val="center"/>
            <w:hideMark/>
          </w:tcPr>
          <w:p w14:paraId="537946E4"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财政部</w:t>
            </w:r>
          </w:p>
        </w:tc>
        <w:tc>
          <w:tcPr>
            <w:tcW w:w="6996" w:type="dxa"/>
            <w:tcBorders>
              <w:top w:val="single" w:sz="4" w:space="0" w:color="auto"/>
              <w:left w:val="nil"/>
              <w:bottom w:val="single" w:sz="4" w:space="0" w:color="auto"/>
              <w:right w:val="nil"/>
            </w:tcBorders>
            <w:shd w:val="clear" w:color="auto" w:fill="auto"/>
            <w:vAlign w:val="center"/>
            <w:hideMark/>
          </w:tcPr>
          <w:p w14:paraId="6EA17104"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hint="eastAsia"/>
                <w:color w:val="000000"/>
                <w:szCs w:val="21"/>
              </w:rPr>
              <w:t>今年专项</w:t>
            </w:r>
            <w:proofErr w:type="gramStart"/>
            <w:r w:rsidRPr="0083351F">
              <w:rPr>
                <w:rFonts w:cs="Times New Roman" w:hint="eastAsia"/>
                <w:color w:val="000000"/>
                <w:szCs w:val="21"/>
              </w:rPr>
              <w:t>债明确</w:t>
            </w:r>
            <w:proofErr w:type="gramEnd"/>
            <w:r w:rsidRPr="0083351F">
              <w:rPr>
                <w:rFonts w:cs="Times New Roman" w:hint="eastAsia"/>
                <w:color w:val="000000"/>
                <w:szCs w:val="21"/>
              </w:rPr>
              <w:t>不得用于土地收储和房地产相关的项目，但将老旧小区改造纳入专项债的支持范围。</w:t>
            </w:r>
          </w:p>
        </w:tc>
      </w:tr>
      <w:tr w:rsidR="0083351F" w:rsidRPr="0083351F" w14:paraId="7B78F15E" w14:textId="77777777" w:rsidTr="0083351F">
        <w:trPr>
          <w:trHeight w:val="530"/>
        </w:trPr>
        <w:tc>
          <w:tcPr>
            <w:tcW w:w="1270" w:type="dxa"/>
            <w:tcBorders>
              <w:top w:val="single" w:sz="4" w:space="0" w:color="auto"/>
              <w:left w:val="nil"/>
              <w:bottom w:val="single" w:sz="4" w:space="0" w:color="auto"/>
              <w:right w:val="nil"/>
            </w:tcBorders>
            <w:shd w:val="clear" w:color="auto" w:fill="auto"/>
            <w:vAlign w:val="center"/>
            <w:hideMark/>
          </w:tcPr>
          <w:p w14:paraId="4EC7BA8A"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color w:val="000000"/>
                <w:szCs w:val="21"/>
              </w:rPr>
              <w:t>2020-04-03</w:t>
            </w:r>
          </w:p>
        </w:tc>
        <w:tc>
          <w:tcPr>
            <w:tcW w:w="1940" w:type="dxa"/>
            <w:tcBorders>
              <w:top w:val="single" w:sz="4" w:space="0" w:color="auto"/>
              <w:left w:val="nil"/>
              <w:bottom w:val="single" w:sz="4" w:space="0" w:color="auto"/>
              <w:right w:val="nil"/>
            </w:tcBorders>
            <w:shd w:val="clear" w:color="auto" w:fill="auto"/>
            <w:noWrap/>
            <w:vAlign w:val="center"/>
            <w:hideMark/>
          </w:tcPr>
          <w:p w14:paraId="5F4C2C7A" w14:textId="77777777" w:rsidR="0083351F" w:rsidRPr="0083351F" w:rsidRDefault="0083351F" w:rsidP="0083351F">
            <w:pPr>
              <w:spacing w:after="0" w:line="240" w:lineRule="auto"/>
              <w:ind w:right="0"/>
              <w:jc w:val="center"/>
              <w:rPr>
                <w:rFonts w:cs="Times New Roman"/>
                <w:color w:val="000000"/>
                <w:szCs w:val="21"/>
              </w:rPr>
            </w:pPr>
            <w:r w:rsidRPr="0083351F">
              <w:rPr>
                <w:rFonts w:cs="Times New Roman" w:hint="eastAsia"/>
                <w:color w:val="000000"/>
                <w:szCs w:val="21"/>
              </w:rPr>
              <w:t>北京</w:t>
            </w:r>
          </w:p>
        </w:tc>
        <w:tc>
          <w:tcPr>
            <w:tcW w:w="6996" w:type="dxa"/>
            <w:tcBorders>
              <w:top w:val="single" w:sz="4" w:space="0" w:color="auto"/>
              <w:left w:val="nil"/>
              <w:bottom w:val="single" w:sz="4" w:space="0" w:color="auto"/>
              <w:right w:val="nil"/>
            </w:tcBorders>
            <w:shd w:val="clear" w:color="auto" w:fill="auto"/>
            <w:vAlign w:val="center"/>
            <w:hideMark/>
          </w:tcPr>
          <w:p w14:paraId="08533730" w14:textId="77777777" w:rsidR="0083351F" w:rsidRPr="0083351F" w:rsidRDefault="0083351F" w:rsidP="0083351F">
            <w:pPr>
              <w:spacing w:after="0" w:line="240" w:lineRule="auto"/>
              <w:ind w:right="0"/>
              <w:jc w:val="left"/>
              <w:rPr>
                <w:rFonts w:cs="Times New Roman"/>
                <w:color w:val="000000"/>
                <w:szCs w:val="21"/>
              </w:rPr>
            </w:pPr>
            <w:r w:rsidRPr="0083351F">
              <w:rPr>
                <w:rFonts w:cs="Times New Roman" w:hint="eastAsia"/>
                <w:color w:val="000000"/>
                <w:szCs w:val="21"/>
              </w:rPr>
              <w:t>明确新申请办理预售许可的商品住房项目，一个</w:t>
            </w:r>
            <w:proofErr w:type="gramStart"/>
            <w:r w:rsidRPr="0083351F">
              <w:rPr>
                <w:rFonts w:cs="Times New Roman" w:hint="eastAsia"/>
                <w:color w:val="000000"/>
                <w:szCs w:val="21"/>
              </w:rPr>
              <w:t>施工证</w:t>
            </w:r>
            <w:proofErr w:type="gramEnd"/>
            <w:r w:rsidRPr="0083351F">
              <w:rPr>
                <w:rFonts w:cs="Times New Roman" w:hint="eastAsia"/>
                <w:color w:val="000000"/>
                <w:szCs w:val="21"/>
              </w:rPr>
              <w:t>范围内的可售住宅部分，从原有只能办理一次预售许可，调整为可办理两次，同时明确了最低规模不得小于栋，不得分层、分单元申请预售许可。</w:t>
            </w:r>
          </w:p>
        </w:tc>
      </w:tr>
    </w:tbl>
    <w:p w14:paraId="74730260" w14:textId="5A30327B" w:rsidR="00EF5C8A" w:rsidRPr="00EF5C8A" w:rsidRDefault="00A507E1" w:rsidP="00EF5C8A">
      <w:pPr>
        <w:rPr>
          <w:rFonts w:cs="Times New Roman"/>
        </w:rPr>
      </w:pPr>
      <w:r>
        <w:rPr>
          <w:rFonts w:ascii="KaiTi" w:eastAsia="KaiTi" w:hAnsi="KaiTi" w:cs="Times New Roman" w:hint="eastAsia"/>
          <w:color w:val="000000"/>
          <w:sz w:val="18"/>
          <w:szCs w:val="18"/>
        </w:rPr>
        <w:t>数据来源</w:t>
      </w:r>
      <w:r w:rsidR="00EF5C8A" w:rsidRPr="00EF5C8A">
        <w:rPr>
          <w:rFonts w:ascii="KaiTi" w:eastAsia="KaiTi" w:hAnsi="KaiTi" w:cs="Times New Roman" w:hint="eastAsia"/>
          <w:color w:val="000000"/>
          <w:sz w:val="18"/>
          <w:szCs w:val="18"/>
        </w:rPr>
        <w:t>：</w:t>
      </w:r>
      <w:r w:rsidR="00EF5C8A" w:rsidRPr="00EF5C8A">
        <w:rPr>
          <w:rFonts w:cs="Times New Roman" w:hint="eastAsia"/>
          <w:color w:val="000000"/>
          <w:sz w:val="18"/>
          <w:szCs w:val="18"/>
        </w:rPr>
        <w:t>Wind</w:t>
      </w:r>
      <w:r w:rsidR="00EF5C8A" w:rsidRPr="00EF5C8A">
        <w:rPr>
          <w:rFonts w:cs="Times New Roman" w:hint="eastAsia"/>
          <w:color w:val="000000"/>
          <w:sz w:val="18"/>
          <w:szCs w:val="18"/>
        </w:rPr>
        <w:t>，互联网，中</w:t>
      </w:r>
      <w:proofErr w:type="gramStart"/>
      <w:r w:rsidR="00EF5C8A" w:rsidRPr="00EF5C8A">
        <w:rPr>
          <w:rFonts w:cs="Times New Roman" w:hint="eastAsia"/>
          <w:color w:val="000000"/>
          <w:sz w:val="18"/>
          <w:szCs w:val="18"/>
        </w:rPr>
        <w:t>达证券</w:t>
      </w:r>
      <w:proofErr w:type="gramEnd"/>
      <w:r w:rsidR="00EF5C8A" w:rsidRPr="00EF5C8A">
        <w:rPr>
          <w:rFonts w:cs="Times New Roman" w:hint="eastAsia"/>
          <w:color w:val="000000"/>
          <w:sz w:val="18"/>
          <w:szCs w:val="18"/>
        </w:rPr>
        <w:t>研究</w:t>
      </w:r>
    </w:p>
    <w:p w14:paraId="240248B7" w14:textId="77777777" w:rsidR="007A53C1" w:rsidRDefault="007A53C1">
      <w:pPr>
        <w:ind w:right="0"/>
        <w:jc w:val="left"/>
        <w:rPr>
          <w:rFonts w:cs="Times New Roman"/>
          <w:b/>
          <w:bCs/>
          <w:sz w:val="28"/>
          <w:szCs w:val="26"/>
        </w:rPr>
      </w:pPr>
      <w:r>
        <w:rPr>
          <w:rFonts w:cs="Times New Roman"/>
          <w:b/>
          <w:bCs/>
          <w:sz w:val="28"/>
          <w:szCs w:val="26"/>
        </w:rPr>
        <w:br w:type="page"/>
      </w:r>
    </w:p>
    <w:p w14:paraId="7B264D9C" w14:textId="36CEAD22" w:rsidR="007A53C1" w:rsidRDefault="007A53C1" w:rsidP="007A53C1">
      <w:pPr>
        <w:keepNext/>
        <w:keepLines/>
        <w:spacing w:after="0" w:line="360" w:lineRule="auto"/>
        <w:outlineLvl w:val="1"/>
        <w:rPr>
          <w:rFonts w:cs="Times New Roman"/>
          <w:b/>
          <w:bCs/>
          <w:sz w:val="28"/>
          <w:szCs w:val="26"/>
        </w:rPr>
      </w:pPr>
      <w:r>
        <w:rPr>
          <w:rFonts w:cs="Times New Roman" w:hint="eastAsia"/>
          <w:b/>
          <w:bCs/>
          <w:sz w:val="28"/>
          <w:szCs w:val="26"/>
        </w:rPr>
        <w:lastRenderedPageBreak/>
        <w:t>4.2</w:t>
      </w:r>
      <w:r>
        <w:rPr>
          <w:rFonts w:cs="Times New Roman"/>
          <w:b/>
          <w:bCs/>
          <w:sz w:val="28"/>
          <w:szCs w:val="26"/>
        </w:rPr>
        <w:t xml:space="preserve"> </w:t>
      </w:r>
      <w:r w:rsidR="007642BA">
        <w:rPr>
          <w:rFonts w:cs="Times New Roman" w:hint="eastAsia"/>
          <w:b/>
          <w:bCs/>
          <w:sz w:val="28"/>
          <w:szCs w:val="26"/>
        </w:rPr>
        <w:t>本周公</w:t>
      </w:r>
      <w:proofErr w:type="gramStart"/>
      <w:r w:rsidR="007642BA">
        <w:rPr>
          <w:rFonts w:cs="Times New Roman" w:hint="eastAsia"/>
          <w:b/>
          <w:bCs/>
          <w:sz w:val="28"/>
          <w:szCs w:val="26"/>
        </w:rPr>
        <w:t>布</w:t>
      </w:r>
      <w:r>
        <w:rPr>
          <w:rFonts w:cs="Times New Roman" w:hint="eastAsia"/>
          <w:b/>
          <w:bCs/>
          <w:sz w:val="28"/>
          <w:szCs w:val="26"/>
        </w:rPr>
        <w:t>重点</w:t>
      </w:r>
      <w:proofErr w:type="gramEnd"/>
      <w:r>
        <w:rPr>
          <w:rFonts w:cs="Times New Roman" w:hint="eastAsia"/>
          <w:b/>
          <w:bCs/>
          <w:sz w:val="28"/>
          <w:szCs w:val="26"/>
        </w:rPr>
        <w:t>公司</w:t>
      </w:r>
      <w:r>
        <w:rPr>
          <w:rFonts w:cs="Times New Roman" w:hint="eastAsia"/>
          <w:b/>
          <w:bCs/>
          <w:sz w:val="28"/>
          <w:szCs w:val="26"/>
        </w:rPr>
        <w:t>2019</w:t>
      </w:r>
      <w:r>
        <w:rPr>
          <w:rFonts w:cs="Times New Roman" w:hint="eastAsia"/>
          <w:b/>
          <w:bCs/>
          <w:sz w:val="28"/>
          <w:szCs w:val="26"/>
        </w:rPr>
        <w:t>年</w:t>
      </w:r>
      <w:r w:rsidR="007F6B5E">
        <w:rPr>
          <w:rFonts w:cs="Times New Roman" w:hint="eastAsia"/>
          <w:b/>
          <w:bCs/>
          <w:sz w:val="28"/>
          <w:szCs w:val="26"/>
        </w:rPr>
        <w:t>度</w:t>
      </w:r>
      <w:r>
        <w:rPr>
          <w:rFonts w:cs="Times New Roman" w:hint="eastAsia"/>
          <w:b/>
          <w:bCs/>
          <w:sz w:val="28"/>
          <w:szCs w:val="26"/>
        </w:rPr>
        <w:t>业绩</w:t>
      </w:r>
    </w:p>
    <w:p w14:paraId="10DCD1B8" w14:textId="6965F350" w:rsidR="007A53C1" w:rsidRPr="007A53C1" w:rsidRDefault="007A53C1" w:rsidP="00547A5D">
      <w:pPr>
        <w:pStyle w:val="ad"/>
        <w:ind w:right="1014"/>
        <w:rPr>
          <w:sz w:val="21"/>
          <w:szCs w:val="20"/>
        </w:rPr>
      </w:pPr>
      <w:r w:rsidRPr="007A53C1">
        <w:rPr>
          <w:rFonts w:hint="eastAsia"/>
          <w:sz w:val="21"/>
          <w:szCs w:val="20"/>
        </w:rPr>
        <w:t>表</w:t>
      </w:r>
      <w:r w:rsidRPr="007A53C1">
        <w:rPr>
          <w:rFonts w:hint="eastAsia"/>
          <w:sz w:val="21"/>
          <w:szCs w:val="20"/>
        </w:rPr>
        <w:t xml:space="preserve"> </w:t>
      </w:r>
      <w:r w:rsidRPr="007A53C1">
        <w:rPr>
          <w:sz w:val="21"/>
          <w:szCs w:val="20"/>
        </w:rPr>
        <w:fldChar w:fldCharType="begin"/>
      </w:r>
      <w:r w:rsidRPr="007A53C1">
        <w:rPr>
          <w:sz w:val="21"/>
          <w:szCs w:val="20"/>
        </w:rPr>
        <w:instrText xml:space="preserve"> </w:instrText>
      </w:r>
      <w:r w:rsidRPr="007A53C1">
        <w:rPr>
          <w:rFonts w:hint="eastAsia"/>
          <w:sz w:val="21"/>
          <w:szCs w:val="20"/>
        </w:rPr>
        <w:instrText xml:space="preserve">SEQ </w:instrText>
      </w:r>
      <w:r w:rsidRPr="007A53C1">
        <w:rPr>
          <w:rFonts w:hint="eastAsia"/>
          <w:sz w:val="21"/>
          <w:szCs w:val="20"/>
        </w:rPr>
        <w:instrText>表</w:instrText>
      </w:r>
      <w:r w:rsidRPr="007A53C1">
        <w:rPr>
          <w:rFonts w:hint="eastAsia"/>
          <w:sz w:val="21"/>
          <w:szCs w:val="20"/>
        </w:rPr>
        <w:instrText xml:space="preserve"> \* ARABIC</w:instrText>
      </w:r>
      <w:r w:rsidRPr="007A53C1">
        <w:rPr>
          <w:sz w:val="21"/>
          <w:szCs w:val="20"/>
        </w:rPr>
        <w:instrText xml:space="preserve"> </w:instrText>
      </w:r>
      <w:r w:rsidRPr="007A53C1">
        <w:rPr>
          <w:sz w:val="21"/>
          <w:szCs w:val="20"/>
        </w:rPr>
        <w:fldChar w:fldCharType="separate"/>
      </w:r>
      <w:r w:rsidR="00DB5785">
        <w:rPr>
          <w:noProof/>
          <w:sz w:val="21"/>
          <w:szCs w:val="20"/>
        </w:rPr>
        <w:t>9</w:t>
      </w:r>
      <w:r w:rsidRPr="007A53C1">
        <w:rPr>
          <w:sz w:val="21"/>
          <w:szCs w:val="20"/>
        </w:rPr>
        <w:fldChar w:fldCharType="end"/>
      </w:r>
      <w:r w:rsidRPr="007A53C1">
        <w:rPr>
          <w:rFonts w:hint="eastAsia"/>
          <w:sz w:val="21"/>
          <w:szCs w:val="20"/>
        </w:rPr>
        <w:t>：</w:t>
      </w:r>
      <w:r w:rsidR="00547A5D">
        <w:rPr>
          <w:rFonts w:hint="eastAsia"/>
          <w:sz w:val="21"/>
          <w:szCs w:val="20"/>
        </w:rPr>
        <w:t>本周公</w:t>
      </w:r>
      <w:proofErr w:type="gramStart"/>
      <w:r w:rsidR="00547A5D">
        <w:rPr>
          <w:rFonts w:hint="eastAsia"/>
          <w:sz w:val="21"/>
          <w:szCs w:val="20"/>
        </w:rPr>
        <w:t>布重点</w:t>
      </w:r>
      <w:proofErr w:type="gramEnd"/>
      <w:r w:rsidR="00547A5D">
        <w:rPr>
          <w:rFonts w:hint="eastAsia"/>
          <w:sz w:val="21"/>
          <w:szCs w:val="20"/>
        </w:rPr>
        <w:t>公司</w:t>
      </w:r>
      <w:r w:rsidR="00547A5D">
        <w:rPr>
          <w:rFonts w:hint="eastAsia"/>
          <w:sz w:val="21"/>
          <w:szCs w:val="20"/>
        </w:rPr>
        <w:t>2019</w:t>
      </w:r>
      <w:r w:rsidR="00547A5D">
        <w:rPr>
          <w:rFonts w:hint="eastAsia"/>
          <w:sz w:val="21"/>
          <w:szCs w:val="20"/>
        </w:rPr>
        <w:t>年度业绩：</w:t>
      </w:r>
      <w:r w:rsidR="00127785">
        <w:rPr>
          <w:rFonts w:hint="eastAsia"/>
          <w:sz w:val="21"/>
          <w:szCs w:val="20"/>
        </w:rPr>
        <w:t>中国恒大</w:t>
      </w:r>
      <w:r w:rsidR="00547A5D">
        <w:rPr>
          <w:rFonts w:hint="eastAsia"/>
          <w:sz w:val="21"/>
          <w:szCs w:val="20"/>
        </w:rPr>
        <w:t>2019</w:t>
      </w:r>
      <w:r w:rsidR="00547A5D">
        <w:rPr>
          <w:rFonts w:hint="eastAsia"/>
          <w:sz w:val="21"/>
          <w:szCs w:val="20"/>
        </w:rPr>
        <w:t>年实现营业收入</w:t>
      </w:r>
      <w:r w:rsidR="00127785">
        <w:rPr>
          <w:rFonts w:hint="eastAsia"/>
          <w:sz w:val="21"/>
          <w:szCs w:val="20"/>
        </w:rPr>
        <w:t>4789.6</w:t>
      </w:r>
      <w:r w:rsidR="00547A5D">
        <w:rPr>
          <w:rFonts w:hint="eastAsia"/>
          <w:sz w:val="21"/>
          <w:szCs w:val="20"/>
        </w:rPr>
        <w:t>亿元（</w:t>
      </w:r>
      <w:r w:rsidR="00547A5D">
        <w:rPr>
          <w:rFonts w:hint="eastAsia"/>
          <w:sz w:val="21"/>
          <w:szCs w:val="20"/>
        </w:rPr>
        <w:t>+</w:t>
      </w:r>
      <w:r w:rsidR="00127785">
        <w:rPr>
          <w:rFonts w:hint="eastAsia"/>
          <w:sz w:val="21"/>
          <w:szCs w:val="20"/>
        </w:rPr>
        <w:t>2.4</w:t>
      </w:r>
      <w:r w:rsidR="00547A5D">
        <w:rPr>
          <w:rFonts w:hint="eastAsia"/>
          <w:sz w:val="21"/>
          <w:szCs w:val="20"/>
        </w:rPr>
        <w:t>%</w:t>
      </w:r>
      <w:r w:rsidR="00547A5D">
        <w:rPr>
          <w:rFonts w:hint="eastAsia"/>
          <w:sz w:val="21"/>
          <w:szCs w:val="20"/>
        </w:rPr>
        <w:t>），</w:t>
      </w:r>
      <w:r w:rsidR="00AD6097">
        <w:rPr>
          <w:rFonts w:hint="eastAsia"/>
          <w:sz w:val="21"/>
          <w:szCs w:val="20"/>
        </w:rPr>
        <w:t>核心净利润</w:t>
      </w:r>
      <w:r w:rsidR="00AD6097">
        <w:rPr>
          <w:rFonts w:hint="eastAsia"/>
          <w:sz w:val="21"/>
          <w:szCs w:val="20"/>
        </w:rPr>
        <w:t>40</w:t>
      </w:r>
      <w:r w:rsidR="00127785">
        <w:rPr>
          <w:rFonts w:hint="eastAsia"/>
          <w:sz w:val="21"/>
          <w:szCs w:val="20"/>
        </w:rPr>
        <w:t>8.</w:t>
      </w:r>
      <w:r w:rsidR="00AD6097">
        <w:rPr>
          <w:rFonts w:hint="eastAsia"/>
          <w:sz w:val="21"/>
          <w:szCs w:val="20"/>
        </w:rPr>
        <w:t>2</w:t>
      </w:r>
      <w:r w:rsidR="00AD6097">
        <w:rPr>
          <w:rFonts w:hint="eastAsia"/>
          <w:sz w:val="21"/>
          <w:szCs w:val="20"/>
        </w:rPr>
        <w:t>亿元（</w:t>
      </w:r>
      <w:r w:rsidR="00127785">
        <w:rPr>
          <w:rFonts w:hint="eastAsia"/>
          <w:sz w:val="21"/>
          <w:szCs w:val="20"/>
        </w:rPr>
        <w:t>-47.9</w:t>
      </w:r>
      <w:r w:rsidR="00547A5D">
        <w:rPr>
          <w:rFonts w:hint="eastAsia"/>
          <w:sz w:val="21"/>
          <w:szCs w:val="20"/>
        </w:rPr>
        <w:t>%</w:t>
      </w:r>
      <w:r w:rsidR="00547A5D">
        <w:rPr>
          <w:rFonts w:hint="eastAsia"/>
          <w:sz w:val="21"/>
          <w:szCs w:val="20"/>
        </w:rPr>
        <w:t>）；</w:t>
      </w:r>
      <w:proofErr w:type="gramStart"/>
      <w:r w:rsidR="00127785">
        <w:rPr>
          <w:rFonts w:hint="eastAsia"/>
          <w:sz w:val="21"/>
          <w:szCs w:val="20"/>
        </w:rPr>
        <w:t>世</w:t>
      </w:r>
      <w:proofErr w:type="gramEnd"/>
      <w:r w:rsidR="00127785">
        <w:rPr>
          <w:rFonts w:hint="eastAsia"/>
          <w:sz w:val="21"/>
          <w:szCs w:val="20"/>
        </w:rPr>
        <w:t>茂房地产</w:t>
      </w:r>
      <w:r w:rsidR="00AD6097">
        <w:rPr>
          <w:rFonts w:hint="eastAsia"/>
          <w:sz w:val="21"/>
          <w:szCs w:val="20"/>
        </w:rPr>
        <w:t>2019</w:t>
      </w:r>
      <w:r w:rsidR="00AD6097">
        <w:rPr>
          <w:rFonts w:hint="eastAsia"/>
          <w:sz w:val="21"/>
          <w:szCs w:val="20"/>
        </w:rPr>
        <w:t>年实现营业收入</w:t>
      </w:r>
      <w:r w:rsidR="00127785">
        <w:rPr>
          <w:rFonts w:hint="eastAsia"/>
          <w:sz w:val="21"/>
          <w:szCs w:val="20"/>
        </w:rPr>
        <w:t>1118.7</w:t>
      </w:r>
      <w:r w:rsidR="00AD6097">
        <w:rPr>
          <w:rFonts w:hint="eastAsia"/>
          <w:sz w:val="21"/>
          <w:szCs w:val="20"/>
        </w:rPr>
        <w:t>亿元（</w:t>
      </w:r>
      <w:r w:rsidR="00AD6097">
        <w:rPr>
          <w:rFonts w:hint="eastAsia"/>
          <w:sz w:val="21"/>
          <w:szCs w:val="20"/>
        </w:rPr>
        <w:t>+</w:t>
      </w:r>
      <w:r w:rsidR="00127785">
        <w:rPr>
          <w:rFonts w:hint="eastAsia"/>
          <w:sz w:val="21"/>
          <w:szCs w:val="20"/>
        </w:rPr>
        <w:t>30.4</w:t>
      </w:r>
      <w:r w:rsidR="00AD6097">
        <w:rPr>
          <w:rFonts w:hint="eastAsia"/>
          <w:sz w:val="21"/>
          <w:szCs w:val="20"/>
        </w:rPr>
        <w:t>%</w:t>
      </w:r>
      <w:r w:rsidR="00AD6097">
        <w:rPr>
          <w:rFonts w:hint="eastAsia"/>
          <w:sz w:val="21"/>
          <w:szCs w:val="20"/>
        </w:rPr>
        <w:t>），核心净利润</w:t>
      </w:r>
      <w:r w:rsidR="00127785">
        <w:rPr>
          <w:rFonts w:hint="eastAsia"/>
          <w:sz w:val="21"/>
          <w:szCs w:val="20"/>
        </w:rPr>
        <w:t>104.8</w:t>
      </w:r>
      <w:r w:rsidR="00AD6097">
        <w:rPr>
          <w:rFonts w:hint="eastAsia"/>
          <w:sz w:val="21"/>
          <w:szCs w:val="20"/>
        </w:rPr>
        <w:t>亿元（</w:t>
      </w:r>
      <w:r w:rsidR="00AD6097">
        <w:rPr>
          <w:rFonts w:hint="eastAsia"/>
          <w:sz w:val="21"/>
          <w:szCs w:val="20"/>
        </w:rPr>
        <w:t>+</w:t>
      </w:r>
      <w:r w:rsidR="00127785">
        <w:rPr>
          <w:rFonts w:hint="eastAsia"/>
          <w:sz w:val="21"/>
          <w:szCs w:val="20"/>
        </w:rPr>
        <w:t>22.6</w:t>
      </w:r>
      <w:r w:rsidR="00AD6097">
        <w:rPr>
          <w:rFonts w:hint="eastAsia"/>
          <w:sz w:val="21"/>
          <w:szCs w:val="20"/>
        </w:rPr>
        <w:t>%</w:t>
      </w:r>
      <w:r w:rsidR="00AD6097">
        <w:rPr>
          <w:rFonts w:hint="eastAsia"/>
          <w:sz w:val="21"/>
          <w:szCs w:val="20"/>
        </w:rPr>
        <w:t>）</w:t>
      </w:r>
    </w:p>
    <w:p w14:paraId="3F28C510" w14:textId="77777777" w:rsidR="00127785" w:rsidRDefault="00127785" w:rsidP="00547A5D">
      <w:pPr>
        <w:spacing w:before="100"/>
        <w:rPr>
          <w:rFonts w:ascii="KaiTi" w:eastAsia="KaiTi" w:hAnsi="KaiTi" w:cs="Times New Roman"/>
          <w:color w:val="000000"/>
          <w:sz w:val="18"/>
          <w:szCs w:val="18"/>
        </w:rPr>
      </w:pPr>
      <w:r w:rsidRPr="00127785">
        <w:rPr>
          <w:rFonts w:hint="eastAsia"/>
          <w:noProof/>
        </w:rPr>
        <w:drawing>
          <wp:inline distT="0" distB="0" distL="0" distR="0" wp14:anchorId="2018DB14" wp14:editId="05885215">
            <wp:extent cx="3964305" cy="347091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64305" cy="3470910"/>
                    </a:xfrm>
                    <a:prstGeom prst="rect">
                      <a:avLst/>
                    </a:prstGeom>
                    <a:noFill/>
                    <a:ln>
                      <a:noFill/>
                    </a:ln>
                  </pic:spPr>
                </pic:pic>
              </a:graphicData>
            </a:graphic>
          </wp:inline>
        </w:drawing>
      </w:r>
    </w:p>
    <w:p w14:paraId="4C6F7D6E" w14:textId="08675BDF" w:rsidR="007A53C1" w:rsidRDefault="007A53C1" w:rsidP="00547A5D">
      <w:pPr>
        <w:spacing w:before="100"/>
        <w:rPr>
          <w:rFonts w:cs="Times New Roman"/>
          <w:color w:val="000000"/>
          <w:sz w:val="18"/>
          <w:szCs w:val="18"/>
        </w:rPr>
      </w:pPr>
      <w:r>
        <w:rPr>
          <w:rFonts w:ascii="KaiTi" w:eastAsia="KaiTi" w:hAnsi="KaiTi" w:cs="Times New Roman" w:hint="eastAsia"/>
          <w:color w:val="000000"/>
          <w:sz w:val="18"/>
          <w:szCs w:val="18"/>
        </w:rPr>
        <w:t>数据来源</w:t>
      </w:r>
      <w:r w:rsidRPr="00EF5C8A">
        <w:rPr>
          <w:rFonts w:ascii="KaiTi" w:eastAsia="KaiTi" w:hAnsi="KaiTi" w:cs="Times New Roman" w:hint="eastAsia"/>
          <w:color w:val="000000"/>
          <w:sz w:val="18"/>
          <w:szCs w:val="18"/>
        </w:rPr>
        <w:t>：</w:t>
      </w:r>
      <w:r w:rsidR="00A20846" w:rsidRPr="00A20846">
        <w:rPr>
          <w:rFonts w:eastAsia="KaiTi" w:cs="Times New Roman"/>
          <w:color w:val="000000"/>
          <w:sz w:val="18"/>
          <w:szCs w:val="18"/>
        </w:rPr>
        <w:t>Wind</w:t>
      </w:r>
      <w:r w:rsidR="00A20846" w:rsidRPr="00A20846">
        <w:rPr>
          <w:rFonts w:eastAsia="KaiTi" w:cs="Times New Roman"/>
          <w:color w:val="000000"/>
          <w:sz w:val="18"/>
          <w:szCs w:val="18"/>
        </w:rPr>
        <w:t>，</w:t>
      </w:r>
      <w:r>
        <w:rPr>
          <w:rFonts w:cs="Times New Roman" w:hint="eastAsia"/>
          <w:color w:val="000000"/>
          <w:sz w:val="18"/>
          <w:szCs w:val="18"/>
        </w:rPr>
        <w:t>公司公告</w:t>
      </w:r>
      <w:r w:rsidRPr="00EF5C8A">
        <w:rPr>
          <w:rFonts w:cs="Times New Roman" w:hint="eastAsia"/>
          <w:color w:val="000000"/>
          <w:sz w:val="18"/>
          <w:szCs w:val="18"/>
        </w:rPr>
        <w:t>，中</w:t>
      </w:r>
      <w:proofErr w:type="gramStart"/>
      <w:r w:rsidRPr="00EF5C8A">
        <w:rPr>
          <w:rFonts w:cs="Times New Roman" w:hint="eastAsia"/>
          <w:color w:val="000000"/>
          <w:sz w:val="18"/>
          <w:szCs w:val="18"/>
        </w:rPr>
        <w:t>达证券</w:t>
      </w:r>
      <w:proofErr w:type="gramEnd"/>
      <w:r w:rsidRPr="00EF5C8A">
        <w:rPr>
          <w:rFonts w:cs="Times New Roman" w:hint="eastAsia"/>
          <w:color w:val="000000"/>
          <w:sz w:val="18"/>
          <w:szCs w:val="18"/>
        </w:rPr>
        <w:t>研究</w:t>
      </w:r>
    </w:p>
    <w:p w14:paraId="10004570" w14:textId="75748DAF" w:rsidR="009058FD" w:rsidRDefault="009058FD" w:rsidP="00547A5D">
      <w:pPr>
        <w:spacing w:before="100"/>
        <w:rPr>
          <w:rFonts w:cs="Times New Roman"/>
          <w:color w:val="000000"/>
          <w:sz w:val="18"/>
          <w:szCs w:val="18"/>
        </w:rPr>
      </w:pPr>
    </w:p>
    <w:p w14:paraId="136C7507" w14:textId="3033C176" w:rsidR="009058FD" w:rsidRDefault="009058FD">
      <w:pPr>
        <w:ind w:right="0"/>
        <w:jc w:val="left"/>
        <w:rPr>
          <w:rFonts w:cs="Times New Roman"/>
          <w:color w:val="000000"/>
          <w:sz w:val="18"/>
          <w:szCs w:val="18"/>
        </w:rPr>
      </w:pPr>
      <w:r>
        <w:rPr>
          <w:rFonts w:cs="Times New Roman"/>
          <w:color w:val="000000"/>
          <w:sz w:val="18"/>
          <w:szCs w:val="18"/>
        </w:rPr>
        <w:br w:type="page"/>
      </w:r>
    </w:p>
    <w:p w14:paraId="4C38766F" w14:textId="194FB221" w:rsidR="009058FD" w:rsidRPr="009058FD" w:rsidRDefault="009058FD" w:rsidP="009058FD">
      <w:pPr>
        <w:keepNext/>
        <w:keepLines/>
        <w:spacing w:after="0" w:line="360" w:lineRule="auto"/>
        <w:outlineLvl w:val="1"/>
        <w:rPr>
          <w:rFonts w:cs="Times New Roman"/>
          <w:b/>
          <w:bCs/>
          <w:sz w:val="28"/>
          <w:szCs w:val="26"/>
        </w:rPr>
      </w:pPr>
      <w:r>
        <w:rPr>
          <w:rFonts w:cs="Times New Roman" w:hint="eastAsia"/>
          <w:b/>
          <w:bCs/>
          <w:sz w:val="28"/>
          <w:szCs w:val="26"/>
        </w:rPr>
        <w:lastRenderedPageBreak/>
        <w:t>4.</w:t>
      </w:r>
      <w:r w:rsidR="00E54C45">
        <w:rPr>
          <w:rFonts w:cs="Times New Roman" w:hint="eastAsia"/>
          <w:b/>
          <w:bCs/>
          <w:sz w:val="28"/>
          <w:szCs w:val="26"/>
        </w:rPr>
        <w:t>3</w:t>
      </w:r>
      <w:r>
        <w:rPr>
          <w:rFonts w:cs="Times New Roman"/>
          <w:b/>
          <w:bCs/>
          <w:sz w:val="28"/>
          <w:szCs w:val="26"/>
        </w:rPr>
        <w:t xml:space="preserve"> </w:t>
      </w:r>
      <w:r>
        <w:rPr>
          <w:rFonts w:cs="Times New Roman" w:hint="eastAsia"/>
          <w:b/>
          <w:bCs/>
          <w:sz w:val="28"/>
          <w:szCs w:val="26"/>
        </w:rPr>
        <w:t>本周公</w:t>
      </w:r>
      <w:proofErr w:type="gramStart"/>
      <w:r>
        <w:rPr>
          <w:rFonts w:cs="Times New Roman" w:hint="eastAsia"/>
          <w:b/>
          <w:bCs/>
          <w:sz w:val="28"/>
          <w:szCs w:val="26"/>
        </w:rPr>
        <w:t>布重点</w:t>
      </w:r>
      <w:proofErr w:type="gramEnd"/>
      <w:r>
        <w:rPr>
          <w:rFonts w:cs="Times New Roman" w:hint="eastAsia"/>
          <w:b/>
          <w:bCs/>
          <w:sz w:val="28"/>
          <w:szCs w:val="26"/>
        </w:rPr>
        <w:t>公司</w:t>
      </w:r>
      <w:r>
        <w:rPr>
          <w:rFonts w:cs="Times New Roman" w:hint="eastAsia"/>
          <w:b/>
          <w:bCs/>
          <w:sz w:val="28"/>
          <w:szCs w:val="26"/>
        </w:rPr>
        <w:t>3</w:t>
      </w:r>
      <w:r>
        <w:rPr>
          <w:rFonts w:cs="Times New Roman" w:hint="eastAsia"/>
          <w:b/>
          <w:bCs/>
          <w:sz w:val="28"/>
          <w:szCs w:val="26"/>
        </w:rPr>
        <w:t>月销售情况</w:t>
      </w:r>
    </w:p>
    <w:p w14:paraId="1873DEB7" w14:textId="6CBE5494" w:rsidR="009058FD" w:rsidRPr="00E22F9F" w:rsidRDefault="009058FD" w:rsidP="009058FD">
      <w:pPr>
        <w:pStyle w:val="ad"/>
        <w:rPr>
          <w:sz w:val="21"/>
          <w:szCs w:val="21"/>
        </w:rPr>
      </w:pPr>
      <w:r w:rsidRPr="00E22F9F">
        <w:rPr>
          <w:rFonts w:hint="eastAsia"/>
          <w:sz w:val="21"/>
          <w:szCs w:val="21"/>
        </w:rPr>
        <w:t>表</w:t>
      </w:r>
      <w:r w:rsidRPr="00E22F9F">
        <w:rPr>
          <w:rFonts w:hint="eastAsia"/>
          <w:sz w:val="21"/>
          <w:szCs w:val="21"/>
        </w:rPr>
        <w:t xml:space="preserve"> </w:t>
      </w:r>
      <w:r w:rsidRPr="00E22F9F">
        <w:rPr>
          <w:sz w:val="21"/>
          <w:szCs w:val="21"/>
        </w:rPr>
        <w:fldChar w:fldCharType="begin"/>
      </w:r>
      <w:r w:rsidRPr="00E22F9F">
        <w:rPr>
          <w:sz w:val="21"/>
          <w:szCs w:val="21"/>
        </w:rPr>
        <w:instrText xml:space="preserve"> </w:instrText>
      </w:r>
      <w:r w:rsidRPr="00E22F9F">
        <w:rPr>
          <w:rFonts w:hint="eastAsia"/>
          <w:sz w:val="21"/>
          <w:szCs w:val="21"/>
        </w:rPr>
        <w:instrText xml:space="preserve">SEQ </w:instrText>
      </w:r>
      <w:r w:rsidRPr="00E22F9F">
        <w:rPr>
          <w:rFonts w:hint="eastAsia"/>
          <w:sz w:val="21"/>
          <w:szCs w:val="21"/>
        </w:rPr>
        <w:instrText>表</w:instrText>
      </w:r>
      <w:r w:rsidRPr="00E22F9F">
        <w:rPr>
          <w:rFonts w:hint="eastAsia"/>
          <w:sz w:val="21"/>
          <w:szCs w:val="21"/>
        </w:rPr>
        <w:instrText xml:space="preserve"> \* ARABIC</w:instrText>
      </w:r>
      <w:r w:rsidRPr="00E22F9F">
        <w:rPr>
          <w:sz w:val="21"/>
          <w:szCs w:val="21"/>
        </w:rPr>
        <w:instrText xml:space="preserve"> </w:instrText>
      </w:r>
      <w:r w:rsidRPr="00E22F9F">
        <w:rPr>
          <w:sz w:val="21"/>
          <w:szCs w:val="21"/>
        </w:rPr>
        <w:fldChar w:fldCharType="separate"/>
      </w:r>
      <w:r w:rsidR="00DB5785" w:rsidRPr="00E22F9F">
        <w:rPr>
          <w:noProof/>
          <w:sz w:val="21"/>
          <w:szCs w:val="21"/>
        </w:rPr>
        <w:t>10</w:t>
      </w:r>
      <w:r w:rsidRPr="00E22F9F">
        <w:rPr>
          <w:sz w:val="21"/>
          <w:szCs w:val="21"/>
        </w:rPr>
        <w:fldChar w:fldCharType="end"/>
      </w:r>
      <w:r w:rsidRPr="00E22F9F">
        <w:rPr>
          <w:rFonts w:hint="eastAsia"/>
          <w:sz w:val="21"/>
          <w:szCs w:val="21"/>
        </w:rPr>
        <w:t>：</w:t>
      </w:r>
      <w:r w:rsidR="00E54C45" w:rsidRPr="00E22F9F">
        <w:rPr>
          <w:rFonts w:hint="eastAsia"/>
          <w:sz w:val="21"/>
          <w:szCs w:val="21"/>
        </w:rPr>
        <w:t>本周公</w:t>
      </w:r>
      <w:proofErr w:type="gramStart"/>
      <w:r w:rsidR="00E54C45" w:rsidRPr="00E22F9F">
        <w:rPr>
          <w:rFonts w:hint="eastAsia"/>
          <w:sz w:val="21"/>
          <w:szCs w:val="21"/>
        </w:rPr>
        <w:t>布重点</w:t>
      </w:r>
      <w:proofErr w:type="gramEnd"/>
      <w:r w:rsidR="00E54C45" w:rsidRPr="00E22F9F">
        <w:rPr>
          <w:rFonts w:hint="eastAsia"/>
          <w:sz w:val="21"/>
          <w:szCs w:val="21"/>
        </w:rPr>
        <w:t>公司</w:t>
      </w:r>
      <w:r w:rsidR="00E54C45" w:rsidRPr="00E22F9F">
        <w:rPr>
          <w:rFonts w:hint="eastAsia"/>
          <w:sz w:val="21"/>
          <w:szCs w:val="21"/>
        </w:rPr>
        <w:t>3</w:t>
      </w:r>
      <w:r w:rsidR="00E54C45" w:rsidRPr="00E22F9F">
        <w:rPr>
          <w:rFonts w:hint="eastAsia"/>
          <w:sz w:val="21"/>
          <w:szCs w:val="21"/>
        </w:rPr>
        <w:t>月销售情况：中国恒大</w:t>
      </w:r>
      <w:r w:rsidR="00E54C45" w:rsidRPr="00E22F9F">
        <w:rPr>
          <w:rFonts w:hint="eastAsia"/>
          <w:sz w:val="21"/>
          <w:szCs w:val="21"/>
        </w:rPr>
        <w:t>2020</w:t>
      </w:r>
      <w:r w:rsidR="00E54C45" w:rsidRPr="00E22F9F">
        <w:rPr>
          <w:rFonts w:hint="eastAsia"/>
          <w:sz w:val="21"/>
          <w:szCs w:val="21"/>
        </w:rPr>
        <w:t>年</w:t>
      </w:r>
      <w:proofErr w:type="gramStart"/>
      <w:r w:rsidR="00E54C45" w:rsidRPr="00E22F9F">
        <w:rPr>
          <w:rFonts w:hint="eastAsia"/>
          <w:sz w:val="21"/>
          <w:szCs w:val="21"/>
        </w:rPr>
        <w:t>前</w:t>
      </w:r>
      <w:r w:rsidR="00E54C45" w:rsidRPr="00E22F9F">
        <w:rPr>
          <w:rFonts w:hint="eastAsia"/>
          <w:sz w:val="21"/>
          <w:szCs w:val="21"/>
        </w:rPr>
        <w:t>3</w:t>
      </w:r>
      <w:r w:rsidR="00E54C45" w:rsidRPr="00E22F9F">
        <w:rPr>
          <w:rFonts w:hint="eastAsia"/>
          <w:sz w:val="21"/>
          <w:szCs w:val="21"/>
        </w:rPr>
        <w:t>月</w:t>
      </w:r>
      <w:proofErr w:type="gramEnd"/>
      <w:r w:rsidR="00E54C45" w:rsidRPr="00E22F9F">
        <w:rPr>
          <w:rFonts w:hint="eastAsia"/>
          <w:sz w:val="21"/>
          <w:szCs w:val="21"/>
        </w:rPr>
        <w:t>累计销售金额</w:t>
      </w:r>
      <w:r w:rsidR="00E54C45" w:rsidRPr="00E22F9F">
        <w:rPr>
          <w:rFonts w:hint="eastAsia"/>
          <w:sz w:val="21"/>
          <w:szCs w:val="21"/>
        </w:rPr>
        <w:t>1473.7</w:t>
      </w:r>
      <w:r w:rsidR="00E54C45" w:rsidRPr="00E22F9F">
        <w:rPr>
          <w:rFonts w:hint="eastAsia"/>
          <w:sz w:val="21"/>
          <w:szCs w:val="21"/>
        </w:rPr>
        <w:t>亿元（</w:t>
      </w:r>
      <w:r w:rsidR="00E54C45" w:rsidRPr="00E22F9F">
        <w:rPr>
          <w:rFonts w:hint="eastAsia"/>
          <w:sz w:val="21"/>
          <w:szCs w:val="21"/>
        </w:rPr>
        <w:t>+23.2%</w:t>
      </w:r>
      <w:r w:rsidR="00E54C45" w:rsidRPr="00E22F9F">
        <w:rPr>
          <w:rFonts w:hint="eastAsia"/>
          <w:sz w:val="21"/>
          <w:szCs w:val="21"/>
        </w:rPr>
        <w:t>）；万科</w:t>
      </w:r>
      <w:r w:rsidR="00E54C45" w:rsidRPr="00E22F9F">
        <w:rPr>
          <w:rFonts w:hint="eastAsia"/>
          <w:sz w:val="21"/>
          <w:szCs w:val="21"/>
        </w:rPr>
        <w:t>2020</w:t>
      </w:r>
      <w:r w:rsidR="00E54C45" w:rsidRPr="00E22F9F">
        <w:rPr>
          <w:rFonts w:hint="eastAsia"/>
          <w:sz w:val="21"/>
          <w:szCs w:val="21"/>
        </w:rPr>
        <w:t>年</w:t>
      </w:r>
      <w:proofErr w:type="gramStart"/>
      <w:r w:rsidR="00E54C45" w:rsidRPr="00E22F9F">
        <w:rPr>
          <w:rFonts w:hint="eastAsia"/>
          <w:sz w:val="21"/>
          <w:szCs w:val="21"/>
        </w:rPr>
        <w:t>前</w:t>
      </w:r>
      <w:r w:rsidR="00E54C45" w:rsidRPr="00E22F9F">
        <w:rPr>
          <w:rFonts w:hint="eastAsia"/>
          <w:sz w:val="21"/>
          <w:szCs w:val="21"/>
        </w:rPr>
        <w:t>3</w:t>
      </w:r>
      <w:r w:rsidR="00E54C45" w:rsidRPr="00E22F9F">
        <w:rPr>
          <w:rFonts w:hint="eastAsia"/>
          <w:sz w:val="21"/>
          <w:szCs w:val="21"/>
        </w:rPr>
        <w:t>月</w:t>
      </w:r>
      <w:proofErr w:type="gramEnd"/>
      <w:r w:rsidR="00E54C45" w:rsidRPr="00E22F9F">
        <w:rPr>
          <w:rFonts w:hint="eastAsia"/>
          <w:sz w:val="21"/>
          <w:szCs w:val="21"/>
        </w:rPr>
        <w:t>累计销售金额</w:t>
      </w:r>
      <w:r w:rsidR="00E54C45" w:rsidRPr="00E22F9F">
        <w:rPr>
          <w:rFonts w:hint="eastAsia"/>
          <w:sz w:val="21"/>
          <w:szCs w:val="21"/>
        </w:rPr>
        <w:t>1378.8</w:t>
      </w:r>
      <w:r w:rsidR="00E54C45" w:rsidRPr="00E22F9F">
        <w:rPr>
          <w:rFonts w:hint="eastAsia"/>
          <w:sz w:val="21"/>
          <w:szCs w:val="21"/>
        </w:rPr>
        <w:t>亿元（</w:t>
      </w:r>
      <w:r w:rsidR="00E54C45" w:rsidRPr="00E22F9F">
        <w:rPr>
          <w:rFonts w:hint="eastAsia"/>
          <w:sz w:val="21"/>
          <w:szCs w:val="21"/>
        </w:rPr>
        <w:t>-7.7%</w:t>
      </w:r>
      <w:r w:rsidR="00E54C45" w:rsidRPr="00E22F9F">
        <w:rPr>
          <w:rFonts w:hint="eastAsia"/>
          <w:sz w:val="21"/>
          <w:szCs w:val="21"/>
        </w:rPr>
        <w:t>）</w:t>
      </w:r>
    </w:p>
    <w:p w14:paraId="2F18DBB1" w14:textId="201F4CEC" w:rsidR="009058FD" w:rsidRDefault="00CA096E" w:rsidP="009058FD">
      <w:r w:rsidRPr="00CA096E">
        <w:rPr>
          <w:noProof/>
        </w:rPr>
        <w:drawing>
          <wp:inline distT="0" distB="0" distL="0" distR="0" wp14:anchorId="575FC7EA" wp14:editId="2211CE2D">
            <wp:extent cx="5594985" cy="3308985"/>
            <wp:effectExtent l="0" t="0" r="5715" b="57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94985" cy="3308985"/>
                    </a:xfrm>
                    <a:prstGeom prst="rect">
                      <a:avLst/>
                    </a:prstGeom>
                    <a:noFill/>
                    <a:ln>
                      <a:noFill/>
                    </a:ln>
                  </pic:spPr>
                </pic:pic>
              </a:graphicData>
            </a:graphic>
          </wp:inline>
        </w:drawing>
      </w:r>
    </w:p>
    <w:p w14:paraId="09B08B4E" w14:textId="405ED86D" w:rsidR="009058FD" w:rsidRPr="00E54C45" w:rsidRDefault="00E54C45" w:rsidP="009058FD">
      <w:pPr>
        <w:rPr>
          <w:sz w:val="18"/>
          <w:szCs w:val="18"/>
        </w:rPr>
      </w:pPr>
      <w:r w:rsidRPr="00E54C45">
        <w:rPr>
          <w:rFonts w:hint="eastAsia"/>
          <w:sz w:val="18"/>
          <w:szCs w:val="18"/>
        </w:rPr>
        <w:t>数据来源：公司公告，中</w:t>
      </w:r>
      <w:proofErr w:type="gramStart"/>
      <w:r w:rsidRPr="00E54C45">
        <w:rPr>
          <w:rFonts w:hint="eastAsia"/>
          <w:sz w:val="18"/>
          <w:szCs w:val="18"/>
        </w:rPr>
        <w:t>达证券</w:t>
      </w:r>
      <w:proofErr w:type="gramEnd"/>
      <w:r w:rsidRPr="00E54C45">
        <w:rPr>
          <w:rFonts w:hint="eastAsia"/>
          <w:sz w:val="18"/>
          <w:szCs w:val="18"/>
        </w:rPr>
        <w:t>研究；注：碧</w:t>
      </w:r>
      <w:proofErr w:type="gramStart"/>
      <w:r w:rsidRPr="00E54C45">
        <w:rPr>
          <w:rFonts w:hint="eastAsia"/>
          <w:sz w:val="18"/>
          <w:szCs w:val="18"/>
        </w:rPr>
        <w:t>桂园</w:t>
      </w:r>
      <w:proofErr w:type="gramEnd"/>
      <w:r w:rsidRPr="00E54C45">
        <w:rPr>
          <w:rFonts w:hint="eastAsia"/>
          <w:sz w:val="18"/>
          <w:szCs w:val="18"/>
        </w:rPr>
        <w:t>、富力地产为权益口径</w:t>
      </w:r>
    </w:p>
    <w:p w14:paraId="1E2E2731" w14:textId="77777777" w:rsidR="007A53C1" w:rsidRDefault="007A53C1">
      <w:pPr>
        <w:ind w:right="0"/>
        <w:jc w:val="left"/>
        <w:rPr>
          <w:rFonts w:cs="Times New Roman"/>
          <w:b/>
          <w:bCs/>
          <w:sz w:val="28"/>
          <w:szCs w:val="26"/>
        </w:rPr>
      </w:pPr>
      <w:r>
        <w:rPr>
          <w:rFonts w:cs="Times New Roman"/>
          <w:b/>
          <w:bCs/>
          <w:sz w:val="28"/>
          <w:szCs w:val="26"/>
        </w:rPr>
        <w:br w:type="page"/>
      </w:r>
    </w:p>
    <w:p w14:paraId="0C7A643D" w14:textId="3F4E0AC2" w:rsidR="007A53C1" w:rsidRPr="00EF5C8A" w:rsidRDefault="007A53C1" w:rsidP="00EF5C8A">
      <w:pPr>
        <w:keepNext/>
        <w:keepLines/>
        <w:spacing w:after="0" w:line="360" w:lineRule="auto"/>
        <w:outlineLvl w:val="1"/>
        <w:rPr>
          <w:rFonts w:cs="Times New Roman"/>
          <w:b/>
          <w:bCs/>
          <w:sz w:val="28"/>
          <w:szCs w:val="26"/>
        </w:rPr>
      </w:pPr>
      <w:r w:rsidRPr="00EF5C8A">
        <w:rPr>
          <w:rFonts w:cs="Times New Roman"/>
          <w:b/>
          <w:bCs/>
          <w:sz w:val="28"/>
          <w:szCs w:val="26"/>
        </w:rPr>
        <w:lastRenderedPageBreak/>
        <w:t>4.</w:t>
      </w:r>
      <w:r w:rsidR="00E54C45">
        <w:rPr>
          <w:rFonts w:cs="Times New Roman" w:hint="eastAsia"/>
          <w:b/>
          <w:bCs/>
          <w:sz w:val="28"/>
          <w:szCs w:val="26"/>
        </w:rPr>
        <w:t>4</w:t>
      </w:r>
      <w:r w:rsidR="007642BA">
        <w:rPr>
          <w:rFonts w:cs="Times New Roman" w:hint="eastAsia"/>
          <w:b/>
          <w:bCs/>
          <w:sz w:val="28"/>
          <w:szCs w:val="26"/>
        </w:rPr>
        <w:t>本周</w:t>
      </w:r>
      <w:r w:rsidRPr="00EF5C8A">
        <w:rPr>
          <w:rFonts w:cs="Times New Roman"/>
          <w:b/>
          <w:bCs/>
          <w:sz w:val="28"/>
          <w:szCs w:val="26"/>
        </w:rPr>
        <w:t>重点公司新闻及公告</w:t>
      </w:r>
    </w:p>
    <w:p w14:paraId="180270A4" w14:textId="303F095D" w:rsidR="00EF5C8A" w:rsidRPr="00126E38" w:rsidRDefault="00EF5C8A" w:rsidP="006F42F1">
      <w:pPr>
        <w:spacing w:after="0" w:line="240" w:lineRule="auto"/>
        <w:ind w:right="872"/>
        <w:contextualSpacing/>
        <w:rPr>
          <w:rFonts w:cs="Times New Roman"/>
          <w:b/>
          <w:bCs/>
          <w:szCs w:val="21"/>
        </w:rPr>
      </w:pPr>
      <w:r w:rsidRPr="00126E38">
        <w:rPr>
          <w:rFonts w:cs="Times New Roman" w:hint="eastAsia"/>
          <w:b/>
          <w:bCs/>
          <w:szCs w:val="20"/>
        </w:rPr>
        <w:t>表</w:t>
      </w:r>
      <w:r w:rsidRPr="00126E38">
        <w:rPr>
          <w:rFonts w:cs="Times New Roman" w:hint="eastAsia"/>
          <w:b/>
          <w:bCs/>
          <w:szCs w:val="20"/>
        </w:rPr>
        <w:t xml:space="preserve"> </w:t>
      </w:r>
      <w:r w:rsidRPr="00126E38">
        <w:rPr>
          <w:rFonts w:cs="Times New Roman"/>
          <w:b/>
          <w:bCs/>
          <w:szCs w:val="20"/>
        </w:rPr>
        <w:fldChar w:fldCharType="begin"/>
      </w:r>
      <w:r w:rsidRPr="00126E38">
        <w:rPr>
          <w:rFonts w:cs="Times New Roman"/>
          <w:b/>
          <w:bCs/>
          <w:szCs w:val="20"/>
        </w:rPr>
        <w:instrText xml:space="preserve"> </w:instrText>
      </w:r>
      <w:r w:rsidRPr="00126E38">
        <w:rPr>
          <w:rFonts w:cs="Times New Roman" w:hint="eastAsia"/>
          <w:b/>
          <w:bCs/>
          <w:szCs w:val="20"/>
        </w:rPr>
        <w:instrText xml:space="preserve">SEQ </w:instrText>
      </w:r>
      <w:r w:rsidRPr="00126E38">
        <w:rPr>
          <w:rFonts w:cs="Times New Roman" w:hint="eastAsia"/>
          <w:b/>
          <w:bCs/>
          <w:szCs w:val="20"/>
        </w:rPr>
        <w:instrText>表</w:instrText>
      </w:r>
      <w:r w:rsidRPr="00126E38">
        <w:rPr>
          <w:rFonts w:cs="Times New Roman" w:hint="eastAsia"/>
          <w:b/>
          <w:bCs/>
          <w:szCs w:val="20"/>
        </w:rPr>
        <w:instrText xml:space="preserve"> \* ARABIC</w:instrText>
      </w:r>
      <w:r w:rsidRPr="00126E38">
        <w:rPr>
          <w:rFonts w:cs="Times New Roman"/>
          <w:b/>
          <w:bCs/>
          <w:szCs w:val="20"/>
        </w:rPr>
        <w:instrText xml:space="preserve"> </w:instrText>
      </w:r>
      <w:r w:rsidRPr="00126E38">
        <w:rPr>
          <w:rFonts w:cs="Times New Roman"/>
          <w:b/>
          <w:bCs/>
          <w:szCs w:val="20"/>
        </w:rPr>
        <w:fldChar w:fldCharType="separate"/>
      </w:r>
      <w:r w:rsidR="00DB5785">
        <w:rPr>
          <w:rFonts w:cs="Times New Roman"/>
          <w:b/>
          <w:bCs/>
          <w:noProof/>
          <w:szCs w:val="20"/>
        </w:rPr>
        <w:t>11</w:t>
      </w:r>
      <w:r w:rsidRPr="00126E38">
        <w:rPr>
          <w:rFonts w:cs="Times New Roman"/>
          <w:b/>
          <w:bCs/>
          <w:szCs w:val="20"/>
        </w:rPr>
        <w:fldChar w:fldCharType="end"/>
      </w:r>
      <w:r w:rsidRPr="00126E38">
        <w:rPr>
          <w:rFonts w:cs="Times New Roman" w:hint="eastAsia"/>
          <w:b/>
          <w:bCs/>
          <w:szCs w:val="20"/>
        </w:rPr>
        <w:t>：</w:t>
      </w:r>
      <w:r w:rsidR="00547A5D">
        <w:rPr>
          <w:rFonts w:cs="Times New Roman" w:hint="eastAsia"/>
          <w:b/>
          <w:bCs/>
          <w:szCs w:val="20"/>
        </w:rPr>
        <w:t>本</w:t>
      </w:r>
      <w:r w:rsidRPr="00126E38">
        <w:rPr>
          <w:rFonts w:cs="Times New Roman" w:hint="eastAsia"/>
          <w:b/>
          <w:bCs/>
          <w:szCs w:val="20"/>
        </w:rPr>
        <w:t>周公司动态：</w:t>
      </w:r>
      <w:r w:rsidR="00547A5D">
        <w:rPr>
          <w:rFonts w:cs="Times New Roman" w:hint="eastAsia"/>
          <w:b/>
          <w:bCs/>
          <w:szCs w:val="21"/>
        </w:rPr>
        <w:t>碧</w:t>
      </w:r>
      <w:proofErr w:type="gramStart"/>
      <w:r w:rsidR="00547A5D">
        <w:rPr>
          <w:rFonts w:cs="Times New Roman" w:hint="eastAsia"/>
          <w:b/>
          <w:bCs/>
          <w:szCs w:val="21"/>
        </w:rPr>
        <w:t>桂园</w:t>
      </w:r>
      <w:proofErr w:type="gramEnd"/>
      <w:r w:rsidR="00E54C45" w:rsidRPr="00E54C45">
        <w:rPr>
          <w:rFonts w:cs="Times New Roman" w:hint="eastAsia"/>
          <w:b/>
          <w:bCs/>
          <w:szCs w:val="21"/>
        </w:rPr>
        <w:t>发行</w:t>
      </w:r>
      <w:r w:rsidR="00E54C45" w:rsidRPr="00E54C45">
        <w:rPr>
          <w:rFonts w:cs="Times New Roman" w:hint="eastAsia"/>
          <w:b/>
          <w:bCs/>
          <w:szCs w:val="21"/>
        </w:rPr>
        <w:t>5</w:t>
      </w:r>
      <w:r w:rsidR="00E54C45" w:rsidRPr="00E54C45">
        <w:rPr>
          <w:rFonts w:cs="Times New Roman" w:hint="eastAsia"/>
          <w:b/>
          <w:bCs/>
          <w:szCs w:val="21"/>
        </w:rPr>
        <w:t>年期</w:t>
      </w:r>
      <w:r w:rsidR="00E54C45" w:rsidRPr="00E54C45">
        <w:rPr>
          <w:rFonts w:cs="Times New Roman" w:hint="eastAsia"/>
          <w:b/>
          <w:bCs/>
          <w:szCs w:val="21"/>
        </w:rPr>
        <w:t>34</w:t>
      </w:r>
      <w:r w:rsidR="00E54C45" w:rsidRPr="00E54C45">
        <w:rPr>
          <w:rFonts w:cs="Times New Roman" w:hint="eastAsia"/>
          <w:b/>
          <w:bCs/>
          <w:szCs w:val="21"/>
        </w:rPr>
        <w:t>亿元</w:t>
      </w:r>
      <w:r w:rsidR="00E54C45" w:rsidRPr="00E54C45">
        <w:rPr>
          <w:rFonts w:cs="Times New Roman" w:hint="eastAsia"/>
          <w:b/>
          <w:bCs/>
          <w:szCs w:val="21"/>
        </w:rPr>
        <w:t>4.2%</w:t>
      </w:r>
      <w:r w:rsidR="00E54C45" w:rsidRPr="00E54C45">
        <w:rPr>
          <w:rFonts w:cs="Times New Roman" w:hint="eastAsia"/>
          <w:b/>
          <w:bCs/>
          <w:szCs w:val="21"/>
        </w:rPr>
        <w:t>公司债券</w:t>
      </w:r>
      <w:r w:rsidR="00547A5D">
        <w:rPr>
          <w:rFonts w:cs="Times New Roman" w:hint="eastAsia"/>
          <w:b/>
          <w:bCs/>
          <w:szCs w:val="21"/>
        </w:rPr>
        <w:t>；</w:t>
      </w:r>
      <w:proofErr w:type="gramStart"/>
      <w:r w:rsidR="00E54C45" w:rsidRPr="00E54C45">
        <w:rPr>
          <w:rFonts w:cs="Times New Roman" w:hint="eastAsia"/>
          <w:b/>
          <w:bCs/>
          <w:szCs w:val="21"/>
        </w:rPr>
        <w:t>阳光城获证监会</w:t>
      </w:r>
      <w:proofErr w:type="gramEnd"/>
      <w:r w:rsidR="00E54C45" w:rsidRPr="00E54C45">
        <w:rPr>
          <w:rFonts w:cs="Times New Roman" w:hint="eastAsia"/>
          <w:b/>
          <w:bCs/>
          <w:szCs w:val="21"/>
        </w:rPr>
        <w:t>批准向合格投资者公开发行面值总额不超过</w:t>
      </w:r>
      <w:r w:rsidR="00E54C45" w:rsidRPr="00E54C45">
        <w:rPr>
          <w:rFonts w:cs="Times New Roman" w:hint="eastAsia"/>
          <w:b/>
          <w:bCs/>
          <w:szCs w:val="21"/>
        </w:rPr>
        <w:t>80</w:t>
      </w:r>
      <w:r w:rsidR="00E54C45" w:rsidRPr="00E54C45">
        <w:rPr>
          <w:rFonts w:cs="Times New Roman" w:hint="eastAsia"/>
          <w:b/>
          <w:bCs/>
          <w:szCs w:val="21"/>
        </w:rPr>
        <w:t>亿元公司债券</w:t>
      </w:r>
    </w:p>
    <w:tbl>
      <w:tblPr>
        <w:tblW w:w="10206" w:type="dxa"/>
        <w:tblLook w:val="04A0" w:firstRow="1" w:lastRow="0" w:firstColumn="1" w:lastColumn="0" w:noHBand="0" w:noVBand="1"/>
      </w:tblPr>
      <w:tblGrid>
        <w:gridCol w:w="1405"/>
        <w:gridCol w:w="1599"/>
        <w:gridCol w:w="7202"/>
      </w:tblGrid>
      <w:tr w:rsidR="00EF5C8A" w:rsidRPr="007642BA" w14:paraId="195E132C" w14:textId="77777777" w:rsidTr="00E54C45">
        <w:trPr>
          <w:trHeight w:val="20"/>
        </w:trPr>
        <w:tc>
          <w:tcPr>
            <w:tcW w:w="1405" w:type="dxa"/>
            <w:tcBorders>
              <w:top w:val="single" w:sz="4" w:space="0" w:color="auto"/>
              <w:left w:val="nil"/>
              <w:bottom w:val="nil"/>
              <w:right w:val="nil"/>
            </w:tcBorders>
            <w:shd w:val="clear" w:color="000000" w:fill="EDEDED"/>
            <w:vAlign w:val="center"/>
            <w:hideMark/>
          </w:tcPr>
          <w:p w14:paraId="30A80478" w14:textId="77777777" w:rsidR="00EF5C8A" w:rsidRPr="007642BA" w:rsidRDefault="00EF5C8A" w:rsidP="00EF5C8A">
            <w:pPr>
              <w:spacing w:after="0" w:line="240" w:lineRule="auto"/>
              <w:ind w:right="0"/>
              <w:jc w:val="center"/>
              <w:rPr>
                <w:rFonts w:cs="Times New Roman"/>
                <w:b/>
                <w:bCs/>
                <w:color w:val="000000"/>
                <w:szCs w:val="21"/>
              </w:rPr>
            </w:pPr>
            <w:r w:rsidRPr="007642BA">
              <w:rPr>
                <w:rFonts w:cs="Times New Roman"/>
                <w:b/>
                <w:bCs/>
                <w:color w:val="000000"/>
                <w:szCs w:val="21"/>
              </w:rPr>
              <w:t>日期</w:t>
            </w:r>
          </w:p>
        </w:tc>
        <w:tc>
          <w:tcPr>
            <w:tcW w:w="1599" w:type="dxa"/>
            <w:tcBorders>
              <w:top w:val="single" w:sz="4" w:space="0" w:color="auto"/>
              <w:left w:val="nil"/>
              <w:bottom w:val="nil"/>
              <w:right w:val="nil"/>
            </w:tcBorders>
            <w:shd w:val="clear" w:color="000000" w:fill="EDEDED"/>
            <w:vAlign w:val="center"/>
            <w:hideMark/>
          </w:tcPr>
          <w:p w14:paraId="38C02E9C" w14:textId="77777777" w:rsidR="00EF5C8A" w:rsidRPr="007642BA" w:rsidRDefault="00EF5C8A" w:rsidP="00EF5C8A">
            <w:pPr>
              <w:spacing w:after="0" w:line="240" w:lineRule="auto"/>
              <w:ind w:right="0"/>
              <w:jc w:val="center"/>
              <w:rPr>
                <w:rFonts w:cs="Times New Roman"/>
                <w:b/>
                <w:bCs/>
                <w:color w:val="000000"/>
                <w:szCs w:val="21"/>
              </w:rPr>
            </w:pPr>
            <w:r w:rsidRPr="007642BA">
              <w:rPr>
                <w:rFonts w:cs="Times New Roman"/>
                <w:b/>
                <w:bCs/>
                <w:color w:val="000000"/>
                <w:szCs w:val="21"/>
              </w:rPr>
              <w:t>对象</w:t>
            </w:r>
          </w:p>
        </w:tc>
        <w:tc>
          <w:tcPr>
            <w:tcW w:w="7202" w:type="dxa"/>
            <w:tcBorders>
              <w:top w:val="single" w:sz="4" w:space="0" w:color="auto"/>
              <w:left w:val="nil"/>
              <w:bottom w:val="nil"/>
              <w:right w:val="nil"/>
            </w:tcBorders>
            <w:shd w:val="clear" w:color="000000" w:fill="EDEDED"/>
            <w:vAlign w:val="center"/>
            <w:hideMark/>
          </w:tcPr>
          <w:p w14:paraId="3FC8E74C" w14:textId="77777777" w:rsidR="00EF5C8A" w:rsidRPr="007642BA" w:rsidRDefault="00EF5C8A" w:rsidP="00EF5C8A">
            <w:pPr>
              <w:spacing w:after="0" w:line="240" w:lineRule="auto"/>
              <w:ind w:right="0"/>
              <w:jc w:val="center"/>
              <w:rPr>
                <w:rFonts w:cs="Times New Roman"/>
                <w:b/>
                <w:bCs/>
                <w:color w:val="000000"/>
                <w:szCs w:val="21"/>
              </w:rPr>
            </w:pPr>
            <w:r w:rsidRPr="007642BA">
              <w:rPr>
                <w:rFonts w:cs="Times New Roman"/>
                <w:b/>
                <w:bCs/>
                <w:color w:val="000000"/>
                <w:szCs w:val="21"/>
              </w:rPr>
              <w:t>简述</w:t>
            </w:r>
          </w:p>
        </w:tc>
      </w:tr>
      <w:tr w:rsidR="00E54C45" w:rsidRPr="00E54C45" w14:paraId="03C946EE"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7EA6AA6F"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2020-03-30</w:t>
            </w:r>
          </w:p>
        </w:tc>
        <w:tc>
          <w:tcPr>
            <w:tcW w:w="1599" w:type="dxa"/>
            <w:tcBorders>
              <w:top w:val="single" w:sz="4" w:space="0" w:color="auto"/>
              <w:left w:val="nil"/>
              <w:bottom w:val="single" w:sz="4" w:space="0" w:color="auto"/>
              <w:right w:val="nil"/>
            </w:tcBorders>
            <w:shd w:val="clear" w:color="auto" w:fill="auto"/>
            <w:vAlign w:val="center"/>
            <w:hideMark/>
          </w:tcPr>
          <w:p w14:paraId="5AE55E3B" w14:textId="77777777" w:rsidR="00E54C45" w:rsidRPr="00E54C45" w:rsidRDefault="00E54C45" w:rsidP="00E54C45">
            <w:pPr>
              <w:spacing w:after="0" w:line="240" w:lineRule="auto"/>
              <w:ind w:right="0"/>
              <w:jc w:val="left"/>
              <w:rPr>
                <w:rFonts w:cs="Times New Roman"/>
                <w:color w:val="000000"/>
                <w:szCs w:val="21"/>
              </w:rPr>
            </w:pPr>
            <w:proofErr w:type="gramStart"/>
            <w:r w:rsidRPr="00E54C45">
              <w:rPr>
                <w:rFonts w:cs="Times New Roman" w:hint="eastAsia"/>
                <w:color w:val="000000"/>
                <w:szCs w:val="21"/>
              </w:rPr>
              <w:t>融信中国</w:t>
            </w:r>
            <w:proofErr w:type="gramEnd"/>
          </w:p>
        </w:tc>
        <w:tc>
          <w:tcPr>
            <w:tcW w:w="7202" w:type="dxa"/>
            <w:tcBorders>
              <w:top w:val="single" w:sz="4" w:space="0" w:color="auto"/>
              <w:left w:val="nil"/>
              <w:bottom w:val="single" w:sz="4" w:space="0" w:color="auto"/>
              <w:right w:val="nil"/>
            </w:tcBorders>
            <w:shd w:val="clear" w:color="auto" w:fill="auto"/>
            <w:vAlign w:val="center"/>
            <w:hideMark/>
          </w:tcPr>
          <w:p w14:paraId="2C5CEBA8"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回购总计</w:t>
            </w:r>
            <w:r w:rsidRPr="00E54C45">
              <w:rPr>
                <w:rFonts w:cs="Times New Roman"/>
                <w:color w:val="000000"/>
                <w:szCs w:val="21"/>
              </w:rPr>
              <w:t>6600</w:t>
            </w:r>
            <w:r w:rsidRPr="00E54C45">
              <w:rPr>
                <w:rFonts w:cs="Times New Roman" w:hint="eastAsia"/>
                <w:color w:val="000000"/>
                <w:szCs w:val="21"/>
              </w:rPr>
              <w:t>万美元优先票据，分别为</w:t>
            </w:r>
            <w:r w:rsidRPr="00E54C45">
              <w:rPr>
                <w:rFonts w:cs="Times New Roman"/>
                <w:color w:val="000000"/>
                <w:szCs w:val="21"/>
              </w:rPr>
              <w:t>100</w:t>
            </w:r>
            <w:r w:rsidRPr="00E54C45">
              <w:rPr>
                <w:rFonts w:cs="Times New Roman" w:hint="eastAsia"/>
                <w:color w:val="000000"/>
                <w:szCs w:val="21"/>
              </w:rPr>
              <w:t>万美元</w:t>
            </w:r>
            <w:r w:rsidRPr="00E54C45">
              <w:rPr>
                <w:rFonts w:cs="Times New Roman"/>
                <w:color w:val="000000"/>
                <w:szCs w:val="21"/>
              </w:rPr>
              <w:t>2020</w:t>
            </w:r>
            <w:r w:rsidRPr="00E54C45">
              <w:rPr>
                <w:rFonts w:cs="Times New Roman" w:hint="eastAsia"/>
                <w:color w:val="000000"/>
                <w:szCs w:val="21"/>
              </w:rPr>
              <w:t>年</w:t>
            </w:r>
            <w:r w:rsidRPr="00E54C45">
              <w:rPr>
                <w:rFonts w:cs="Times New Roman"/>
                <w:color w:val="000000"/>
                <w:szCs w:val="21"/>
              </w:rPr>
              <w:t>7</w:t>
            </w:r>
            <w:r w:rsidRPr="00E54C45">
              <w:rPr>
                <w:rFonts w:cs="Times New Roman" w:hint="eastAsia"/>
                <w:color w:val="000000"/>
                <w:szCs w:val="21"/>
              </w:rPr>
              <w:t>月优先票据、</w:t>
            </w:r>
            <w:r w:rsidRPr="00E54C45">
              <w:rPr>
                <w:rFonts w:cs="Times New Roman"/>
                <w:color w:val="000000"/>
                <w:szCs w:val="21"/>
              </w:rPr>
              <w:t>4000</w:t>
            </w:r>
            <w:r w:rsidRPr="00E54C45">
              <w:rPr>
                <w:rFonts w:cs="Times New Roman" w:hint="eastAsia"/>
                <w:color w:val="000000"/>
                <w:szCs w:val="21"/>
              </w:rPr>
              <w:t>万美元</w:t>
            </w:r>
            <w:r w:rsidRPr="00E54C45">
              <w:rPr>
                <w:rFonts w:cs="Times New Roman"/>
                <w:color w:val="000000"/>
                <w:szCs w:val="21"/>
              </w:rPr>
              <w:t>2021</w:t>
            </w:r>
            <w:r w:rsidRPr="00E54C45">
              <w:rPr>
                <w:rFonts w:cs="Times New Roman" w:hint="eastAsia"/>
                <w:color w:val="000000"/>
                <w:szCs w:val="21"/>
              </w:rPr>
              <w:t>年</w:t>
            </w:r>
            <w:r w:rsidRPr="00E54C45">
              <w:rPr>
                <w:rFonts w:cs="Times New Roman"/>
                <w:color w:val="000000"/>
                <w:szCs w:val="21"/>
              </w:rPr>
              <w:t>8</w:t>
            </w:r>
            <w:r w:rsidRPr="00E54C45">
              <w:rPr>
                <w:rFonts w:cs="Times New Roman" w:hint="eastAsia"/>
                <w:color w:val="000000"/>
                <w:szCs w:val="21"/>
              </w:rPr>
              <w:t>月优先票据、</w:t>
            </w:r>
            <w:r w:rsidRPr="00E54C45">
              <w:rPr>
                <w:rFonts w:cs="Times New Roman"/>
                <w:color w:val="000000"/>
                <w:szCs w:val="21"/>
              </w:rPr>
              <w:t>1200</w:t>
            </w:r>
            <w:r w:rsidRPr="00E54C45">
              <w:rPr>
                <w:rFonts w:cs="Times New Roman" w:hint="eastAsia"/>
                <w:color w:val="000000"/>
                <w:szCs w:val="21"/>
              </w:rPr>
              <w:t>万美元</w:t>
            </w:r>
            <w:r w:rsidRPr="00E54C45">
              <w:rPr>
                <w:rFonts w:cs="Times New Roman"/>
                <w:color w:val="000000"/>
                <w:szCs w:val="21"/>
              </w:rPr>
              <w:t>2022</w:t>
            </w:r>
            <w:r w:rsidRPr="00E54C45">
              <w:rPr>
                <w:rFonts w:cs="Times New Roman" w:hint="eastAsia"/>
                <w:color w:val="000000"/>
                <w:szCs w:val="21"/>
              </w:rPr>
              <w:t>年</w:t>
            </w:r>
            <w:r w:rsidRPr="00E54C45">
              <w:rPr>
                <w:rFonts w:cs="Times New Roman"/>
                <w:color w:val="000000"/>
                <w:szCs w:val="21"/>
              </w:rPr>
              <w:t>3</w:t>
            </w:r>
            <w:r w:rsidRPr="00E54C45">
              <w:rPr>
                <w:rFonts w:cs="Times New Roman" w:hint="eastAsia"/>
                <w:color w:val="000000"/>
                <w:szCs w:val="21"/>
              </w:rPr>
              <w:t>月优先票据、</w:t>
            </w:r>
            <w:r w:rsidRPr="00E54C45">
              <w:rPr>
                <w:rFonts w:cs="Times New Roman"/>
                <w:color w:val="000000"/>
                <w:szCs w:val="21"/>
              </w:rPr>
              <w:t>500</w:t>
            </w:r>
            <w:r w:rsidRPr="00E54C45">
              <w:rPr>
                <w:rFonts w:cs="Times New Roman" w:hint="eastAsia"/>
                <w:color w:val="000000"/>
                <w:szCs w:val="21"/>
              </w:rPr>
              <w:t>万美元</w:t>
            </w:r>
            <w:r w:rsidRPr="00E54C45">
              <w:rPr>
                <w:rFonts w:cs="Times New Roman"/>
                <w:color w:val="000000"/>
                <w:szCs w:val="21"/>
              </w:rPr>
              <w:t>2023</w:t>
            </w:r>
            <w:r w:rsidRPr="00E54C45">
              <w:rPr>
                <w:rFonts w:cs="Times New Roman" w:hint="eastAsia"/>
                <w:color w:val="000000"/>
                <w:szCs w:val="21"/>
              </w:rPr>
              <w:t>年</w:t>
            </w:r>
            <w:r w:rsidRPr="00E54C45">
              <w:rPr>
                <w:rFonts w:cs="Times New Roman"/>
                <w:color w:val="000000"/>
                <w:szCs w:val="21"/>
              </w:rPr>
              <w:t>1</w:t>
            </w:r>
            <w:r w:rsidRPr="00E54C45">
              <w:rPr>
                <w:rFonts w:cs="Times New Roman" w:hint="eastAsia"/>
                <w:color w:val="000000"/>
                <w:szCs w:val="21"/>
              </w:rPr>
              <w:t>月优先票据和</w:t>
            </w:r>
            <w:r w:rsidRPr="00E54C45">
              <w:rPr>
                <w:rFonts w:cs="Times New Roman"/>
                <w:color w:val="000000"/>
                <w:szCs w:val="21"/>
              </w:rPr>
              <w:t>800</w:t>
            </w:r>
            <w:r w:rsidRPr="00E54C45">
              <w:rPr>
                <w:rFonts w:cs="Times New Roman" w:hint="eastAsia"/>
                <w:color w:val="000000"/>
                <w:szCs w:val="21"/>
              </w:rPr>
              <w:t>万美元</w:t>
            </w:r>
            <w:r w:rsidRPr="00E54C45">
              <w:rPr>
                <w:rFonts w:cs="Times New Roman"/>
                <w:color w:val="000000"/>
                <w:szCs w:val="21"/>
              </w:rPr>
              <w:t>2023</w:t>
            </w:r>
            <w:r w:rsidRPr="00E54C45">
              <w:rPr>
                <w:rFonts w:cs="Times New Roman" w:hint="eastAsia"/>
                <w:color w:val="000000"/>
                <w:szCs w:val="21"/>
              </w:rPr>
              <w:t>年</w:t>
            </w:r>
            <w:r w:rsidRPr="00E54C45">
              <w:rPr>
                <w:rFonts w:cs="Times New Roman"/>
                <w:color w:val="000000"/>
                <w:szCs w:val="21"/>
              </w:rPr>
              <w:t>6</w:t>
            </w:r>
            <w:r w:rsidRPr="00E54C45">
              <w:rPr>
                <w:rFonts w:cs="Times New Roman" w:hint="eastAsia"/>
                <w:color w:val="000000"/>
                <w:szCs w:val="21"/>
              </w:rPr>
              <w:t>月优先票据。</w:t>
            </w:r>
          </w:p>
        </w:tc>
      </w:tr>
      <w:tr w:rsidR="00E54C45" w:rsidRPr="00E54C45" w14:paraId="21A1BF70"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5BB2C318"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2020-03-30</w:t>
            </w:r>
          </w:p>
        </w:tc>
        <w:tc>
          <w:tcPr>
            <w:tcW w:w="1599" w:type="dxa"/>
            <w:tcBorders>
              <w:top w:val="single" w:sz="4" w:space="0" w:color="auto"/>
              <w:left w:val="nil"/>
              <w:bottom w:val="single" w:sz="4" w:space="0" w:color="auto"/>
              <w:right w:val="nil"/>
            </w:tcBorders>
            <w:shd w:val="clear" w:color="auto" w:fill="auto"/>
            <w:vAlign w:val="center"/>
            <w:hideMark/>
          </w:tcPr>
          <w:p w14:paraId="73F3571E"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龙湖集团</w:t>
            </w:r>
          </w:p>
        </w:tc>
        <w:tc>
          <w:tcPr>
            <w:tcW w:w="7202" w:type="dxa"/>
            <w:tcBorders>
              <w:top w:val="single" w:sz="4" w:space="0" w:color="auto"/>
              <w:left w:val="nil"/>
              <w:bottom w:val="single" w:sz="4" w:space="0" w:color="auto"/>
              <w:right w:val="nil"/>
            </w:tcBorders>
            <w:shd w:val="clear" w:color="auto" w:fill="auto"/>
            <w:vAlign w:val="center"/>
            <w:hideMark/>
          </w:tcPr>
          <w:p w14:paraId="59620D36"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主要股东</w:t>
            </w:r>
            <w:r w:rsidRPr="00E54C45">
              <w:rPr>
                <w:rFonts w:cs="Times New Roman"/>
                <w:color w:val="000000"/>
                <w:szCs w:val="21"/>
              </w:rPr>
              <w:t>Charm Talent International Limited</w:t>
            </w:r>
            <w:r w:rsidRPr="00E54C45">
              <w:rPr>
                <w:rFonts w:cs="Times New Roman" w:hint="eastAsia"/>
                <w:color w:val="000000"/>
                <w:szCs w:val="21"/>
              </w:rPr>
              <w:t>于</w:t>
            </w:r>
            <w:r w:rsidRPr="00E54C45">
              <w:rPr>
                <w:rFonts w:cs="Times New Roman"/>
                <w:color w:val="000000"/>
                <w:szCs w:val="21"/>
              </w:rPr>
              <w:t>3</w:t>
            </w:r>
            <w:r w:rsidRPr="00E54C45">
              <w:rPr>
                <w:rFonts w:cs="Times New Roman" w:hint="eastAsia"/>
                <w:color w:val="000000"/>
                <w:szCs w:val="21"/>
              </w:rPr>
              <w:t>月</w:t>
            </w:r>
            <w:r w:rsidRPr="00E54C45">
              <w:rPr>
                <w:rFonts w:cs="Times New Roman"/>
                <w:color w:val="000000"/>
                <w:szCs w:val="21"/>
              </w:rPr>
              <w:t>26</w:t>
            </w:r>
            <w:r w:rsidRPr="00E54C45">
              <w:rPr>
                <w:rFonts w:cs="Times New Roman" w:hint="eastAsia"/>
                <w:color w:val="000000"/>
                <w:szCs w:val="21"/>
              </w:rPr>
              <w:t>日至</w:t>
            </w:r>
            <w:r w:rsidRPr="00E54C45">
              <w:rPr>
                <w:rFonts w:cs="Times New Roman"/>
                <w:color w:val="000000"/>
                <w:szCs w:val="21"/>
              </w:rPr>
              <w:t>3</w:t>
            </w:r>
            <w:r w:rsidRPr="00E54C45">
              <w:rPr>
                <w:rFonts w:cs="Times New Roman" w:hint="eastAsia"/>
                <w:color w:val="000000"/>
                <w:szCs w:val="21"/>
              </w:rPr>
              <w:t>月</w:t>
            </w:r>
            <w:r w:rsidRPr="00E54C45">
              <w:rPr>
                <w:rFonts w:cs="Times New Roman"/>
                <w:color w:val="000000"/>
                <w:szCs w:val="21"/>
              </w:rPr>
              <w:t>30</w:t>
            </w:r>
            <w:r w:rsidRPr="00E54C45">
              <w:rPr>
                <w:rFonts w:cs="Times New Roman" w:hint="eastAsia"/>
                <w:color w:val="000000"/>
                <w:szCs w:val="21"/>
              </w:rPr>
              <w:t>日间增持公司股份</w:t>
            </w:r>
            <w:r w:rsidRPr="00E54C45">
              <w:rPr>
                <w:rFonts w:cs="Times New Roman"/>
                <w:color w:val="000000"/>
                <w:szCs w:val="21"/>
              </w:rPr>
              <w:t>300</w:t>
            </w:r>
            <w:r w:rsidRPr="00E54C45">
              <w:rPr>
                <w:rFonts w:cs="Times New Roman" w:hint="eastAsia"/>
                <w:color w:val="000000"/>
                <w:szCs w:val="21"/>
              </w:rPr>
              <w:t>万股，占公司总股本的约</w:t>
            </w:r>
            <w:r w:rsidRPr="00E54C45">
              <w:rPr>
                <w:rFonts w:cs="Times New Roman"/>
                <w:color w:val="000000"/>
                <w:szCs w:val="21"/>
              </w:rPr>
              <w:t>0.05%</w:t>
            </w:r>
            <w:r w:rsidRPr="00E54C45">
              <w:rPr>
                <w:rFonts w:cs="Times New Roman" w:hint="eastAsia"/>
                <w:color w:val="000000"/>
                <w:szCs w:val="21"/>
              </w:rPr>
              <w:t>，增持后其持股比例变动至</w:t>
            </w:r>
            <w:r w:rsidRPr="00E54C45">
              <w:rPr>
                <w:rFonts w:cs="Times New Roman"/>
                <w:color w:val="000000"/>
                <w:szCs w:val="21"/>
              </w:rPr>
              <w:t>43.94%</w:t>
            </w:r>
            <w:r w:rsidRPr="00E54C45">
              <w:rPr>
                <w:rFonts w:cs="Times New Roman" w:hint="eastAsia"/>
                <w:color w:val="000000"/>
                <w:szCs w:val="21"/>
              </w:rPr>
              <w:t>。</w:t>
            </w:r>
          </w:p>
        </w:tc>
      </w:tr>
      <w:tr w:rsidR="00E54C45" w:rsidRPr="00E54C45" w14:paraId="61F11A89"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5539F7F7"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2020-03-30</w:t>
            </w:r>
          </w:p>
        </w:tc>
        <w:tc>
          <w:tcPr>
            <w:tcW w:w="1599" w:type="dxa"/>
            <w:tcBorders>
              <w:top w:val="single" w:sz="4" w:space="0" w:color="auto"/>
              <w:left w:val="nil"/>
              <w:bottom w:val="single" w:sz="4" w:space="0" w:color="auto"/>
              <w:right w:val="nil"/>
            </w:tcBorders>
            <w:shd w:val="clear" w:color="auto" w:fill="auto"/>
            <w:vAlign w:val="center"/>
            <w:hideMark/>
          </w:tcPr>
          <w:p w14:paraId="2BEA9520"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碧</w:t>
            </w:r>
            <w:proofErr w:type="gramStart"/>
            <w:r w:rsidRPr="00E54C45">
              <w:rPr>
                <w:rFonts w:cs="Times New Roman" w:hint="eastAsia"/>
                <w:color w:val="000000"/>
                <w:szCs w:val="21"/>
              </w:rPr>
              <w:t>桂园</w:t>
            </w:r>
            <w:proofErr w:type="gramEnd"/>
          </w:p>
        </w:tc>
        <w:tc>
          <w:tcPr>
            <w:tcW w:w="7202" w:type="dxa"/>
            <w:tcBorders>
              <w:top w:val="single" w:sz="4" w:space="0" w:color="auto"/>
              <w:left w:val="nil"/>
              <w:bottom w:val="single" w:sz="4" w:space="0" w:color="auto"/>
              <w:right w:val="nil"/>
            </w:tcBorders>
            <w:shd w:val="clear" w:color="auto" w:fill="auto"/>
            <w:vAlign w:val="center"/>
            <w:hideMark/>
          </w:tcPr>
          <w:p w14:paraId="6167B0A8"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按照</w:t>
            </w:r>
            <w:r w:rsidRPr="00E54C45">
              <w:rPr>
                <w:rFonts w:cs="Times New Roman"/>
                <w:color w:val="000000"/>
                <w:szCs w:val="21"/>
              </w:rPr>
              <w:t>2017</w:t>
            </w:r>
            <w:r w:rsidRPr="00E54C45">
              <w:rPr>
                <w:rFonts w:cs="Times New Roman" w:hint="eastAsia"/>
                <w:color w:val="000000"/>
                <w:szCs w:val="21"/>
              </w:rPr>
              <w:t>年</w:t>
            </w:r>
            <w:r w:rsidRPr="00E54C45">
              <w:rPr>
                <w:rFonts w:cs="Times New Roman"/>
                <w:color w:val="000000"/>
                <w:szCs w:val="21"/>
              </w:rPr>
              <w:t>5</w:t>
            </w:r>
            <w:r w:rsidRPr="00E54C45">
              <w:rPr>
                <w:rFonts w:cs="Times New Roman" w:hint="eastAsia"/>
                <w:color w:val="000000"/>
                <w:szCs w:val="21"/>
              </w:rPr>
              <w:t>月</w:t>
            </w:r>
            <w:r w:rsidRPr="00E54C45">
              <w:rPr>
                <w:rFonts w:cs="Times New Roman"/>
                <w:color w:val="000000"/>
                <w:szCs w:val="21"/>
              </w:rPr>
              <w:t>18</w:t>
            </w:r>
            <w:r w:rsidRPr="00E54C45">
              <w:rPr>
                <w:rFonts w:cs="Times New Roman" w:hint="eastAsia"/>
                <w:color w:val="000000"/>
                <w:szCs w:val="21"/>
              </w:rPr>
              <w:t>日采纳的购股权计划，向公司执行董事莫斌先生提出授予约</w:t>
            </w:r>
            <w:r w:rsidRPr="00E54C45">
              <w:rPr>
                <w:rFonts w:cs="Times New Roman"/>
                <w:color w:val="000000"/>
                <w:szCs w:val="21"/>
              </w:rPr>
              <w:t>1858.7</w:t>
            </w:r>
            <w:r w:rsidRPr="00E54C45">
              <w:rPr>
                <w:rFonts w:cs="Times New Roman" w:hint="eastAsia"/>
                <w:color w:val="000000"/>
                <w:szCs w:val="21"/>
              </w:rPr>
              <w:t>万份购股权，占公司总股本约</w:t>
            </w:r>
            <w:r w:rsidRPr="00E54C45">
              <w:rPr>
                <w:rFonts w:cs="Times New Roman"/>
                <w:color w:val="000000"/>
                <w:szCs w:val="21"/>
              </w:rPr>
              <w:t>0.09%</w:t>
            </w:r>
            <w:r w:rsidRPr="00E54C45">
              <w:rPr>
                <w:rFonts w:cs="Times New Roman" w:hint="eastAsia"/>
                <w:color w:val="000000"/>
                <w:szCs w:val="21"/>
              </w:rPr>
              <w:t>。</w:t>
            </w:r>
          </w:p>
        </w:tc>
      </w:tr>
      <w:tr w:rsidR="00E54C45" w:rsidRPr="00E54C45" w14:paraId="0FD4E746"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7993DD1F"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2020-03-30</w:t>
            </w:r>
          </w:p>
        </w:tc>
        <w:tc>
          <w:tcPr>
            <w:tcW w:w="1599" w:type="dxa"/>
            <w:tcBorders>
              <w:top w:val="single" w:sz="4" w:space="0" w:color="auto"/>
              <w:left w:val="nil"/>
              <w:bottom w:val="single" w:sz="4" w:space="0" w:color="auto"/>
              <w:right w:val="nil"/>
            </w:tcBorders>
            <w:shd w:val="clear" w:color="auto" w:fill="auto"/>
            <w:vAlign w:val="center"/>
            <w:hideMark/>
          </w:tcPr>
          <w:p w14:paraId="3896E8EC"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中南建设</w:t>
            </w:r>
          </w:p>
        </w:tc>
        <w:tc>
          <w:tcPr>
            <w:tcW w:w="7202" w:type="dxa"/>
            <w:tcBorders>
              <w:top w:val="single" w:sz="4" w:space="0" w:color="auto"/>
              <w:left w:val="nil"/>
              <w:bottom w:val="single" w:sz="4" w:space="0" w:color="auto"/>
              <w:right w:val="nil"/>
            </w:tcBorders>
            <w:shd w:val="clear" w:color="auto" w:fill="auto"/>
            <w:vAlign w:val="center"/>
            <w:hideMark/>
          </w:tcPr>
          <w:p w14:paraId="1072668D"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收到交易商协会接受发行总额不超过</w:t>
            </w:r>
            <w:r w:rsidRPr="00E54C45">
              <w:rPr>
                <w:rFonts w:cs="Times New Roman"/>
                <w:color w:val="000000"/>
                <w:szCs w:val="21"/>
              </w:rPr>
              <w:t>30</w:t>
            </w:r>
            <w:r w:rsidRPr="00E54C45">
              <w:rPr>
                <w:rFonts w:cs="Times New Roman" w:hint="eastAsia"/>
                <w:color w:val="000000"/>
                <w:szCs w:val="21"/>
              </w:rPr>
              <w:t>亿元超短期融资</w:t>
            </w:r>
            <w:proofErr w:type="gramStart"/>
            <w:r w:rsidRPr="00E54C45">
              <w:rPr>
                <w:rFonts w:cs="Times New Roman" w:hint="eastAsia"/>
                <w:color w:val="000000"/>
                <w:szCs w:val="21"/>
              </w:rPr>
              <w:t>券</w:t>
            </w:r>
            <w:proofErr w:type="gramEnd"/>
            <w:r w:rsidRPr="00E54C45">
              <w:rPr>
                <w:rFonts w:cs="Times New Roman" w:hint="eastAsia"/>
                <w:color w:val="000000"/>
                <w:szCs w:val="21"/>
              </w:rPr>
              <w:t>、发行总额不超过</w:t>
            </w:r>
            <w:proofErr w:type="gramStart"/>
            <w:r w:rsidRPr="00E54C45">
              <w:rPr>
                <w:rFonts w:cs="Times New Roman"/>
                <w:color w:val="000000"/>
                <w:szCs w:val="21"/>
              </w:rPr>
              <w:t>42</w:t>
            </w:r>
            <w:r w:rsidRPr="00E54C45">
              <w:rPr>
                <w:rFonts w:cs="Times New Roman" w:hint="eastAsia"/>
                <w:color w:val="000000"/>
                <w:szCs w:val="21"/>
              </w:rPr>
              <w:t>亿中期</w:t>
            </w:r>
            <w:proofErr w:type="gramEnd"/>
            <w:r w:rsidRPr="00E54C45">
              <w:rPr>
                <w:rFonts w:cs="Times New Roman" w:hint="eastAsia"/>
                <w:color w:val="000000"/>
                <w:szCs w:val="21"/>
              </w:rPr>
              <w:t>票据注册申请的通知。</w:t>
            </w:r>
          </w:p>
        </w:tc>
      </w:tr>
      <w:tr w:rsidR="00E54C45" w:rsidRPr="00E54C45" w14:paraId="40907916"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75B916CF"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2020-03-31</w:t>
            </w:r>
          </w:p>
        </w:tc>
        <w:tc>
          <w:tcPr>
            <w:tcW w:w="1599" w:type="dxa"/>
            <w:tcBorders>
              <w:top w:val="single" w:sz="4" w:space="0" w:color="auto"/>
              <w:left w:val="nil"/>
              <w:bottom w:val="single" w:sz="4" w:space="0" w:color="auto"/>
              <w:right w:val="nil"/>
            </w:tcBorders>
            <w:shd w:val="clear" w:color="auto" w:fill="auto"/>
            <w:vAlign w:val="center"/>
            <w:hideMark/>
          </w:tcPr>
          <w:p w14:paraId="58ACEDBF"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保利地产</w:t>
            </w:r>
          </w:p>
        </w:tc>
        <w:tc>
          <w:tcPr>
            <w:tcW w:w="7202" w:type="dxa"/>
            <w:tcBorders>
              <w:top w:val="single" w:sz="4" w:space="0" w:color="auto"/>
              <w:left w:val="nil"/>
              <w:bottom w:val="single" w:sz="4" w:space="0" w:color="auto"/>
              <w:right w:val="nil"/>
            </w:tcBorders>
            <w:shd w:val="clear" w:color="auto" w:fill="auto"/>
            <w:vAlign w:val="center"/>
            <w:hideMark/>
          </w:tcPr>
          <w:p w14:paraId="7D299D9D"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color w:val="000000"/>
                <w:szCs w:val="21"/>
              </w:rPr>
              <w:t>2020</w:t>
            </w:r>
            <w:r w:rsidRPr="00E54C45">
              <w:rPr>
                <w:rFonts w:cs="Times New Roman" w:hint="eastAsia"/>
                <w:color w:val="000000"/>
                <w:szCs w:val="21"/>
              </w:rPr>
              <w:t>年公司债券（第一期）品种</w:t>
            </w:r>
            <w:proofErr w:type="gramStart"/>
            <w:r w:rsidRPr="00E54C45">
              <w:rPr>
                <w:rFonts w:cs="Times New Roman" w:hint="eastAsia"/>
                <w:color w:val="000000"/>
                <w:szCs w:val="21"/>
              </w:rPr>
              <w:t>一</w:t>
            </w:r>
            <w:proofErr w:type="gramEnd"/>
            <w:r w:rsidRPr="00E54C45">
              <w:rPr>
                <w:rFonts w:cs="Times New Roman" w:hint="eastAsia"/>
                <w:color w:val="000000"/>
                <w:szCs w:val="21"/>
              </w:rPr>
              <w:t>最终利率确定为</w:t>
            </w:r>
            <w:r w:rsidRPr="00E54C45">
              <w:rPr>
                <w:rFonts w:cs="Times New Roman"/>
                <w:color w:val="000000"/>
                <w:szCs w:val="21"/>
              </w:rPr>
              <w:t>3.00%</w:t>
            </w:r>
            <w:r w:rsidRPr="00E54C45">
              <w:rPr>
                <w:rFonts w:cs="Times New Roman" w:hint="eastAsia"/>
                <w:color w:val="000000"/>
                <w:szCs w:val="21"/>
              </w:rPr>
              <w:t>，</w:t>
            </w:r>
            <w:proofErr w:type="gramStart"/>
            <w:r w:rsidRPr="00E54C45">
              <w:rPr>
                <w:rFonts w:cs="Times New Roman" w:hint="eastAsia"/>
                <w:color w:val="000000"/>
                <w:szCs w:val="21"/>
              </w:rPr>
              <w:t>品种二未发行</w:t>
            </w:r>
            <w:proofErr w:type="gramEnd"/>
            <w:r w:rsidRPr="00E54C45">
              <w:rPr>
                <w:rFonts w:cs="Times New Roman" w:hint="eastAsia"/>
                <w:color w:val="000000"/>
                <w:szCs w:val="21"/>
              </w:rPr>
              <w:t>。</w:t>
            </w:r>
          </w:p>
        </w:tc>
      </w:tr>
      <w:tr w:rsidR="00E54C45" w:rsidRPr="00E54C45" w14:paraId="64F7527F"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01820DF3"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2020-03-31</w:t>
            </w:r>
          </w:p>
        </w:tc>
        <w:tc>
          <w:tcPr>
            <w:tcW w:w="1599" w:type="dxa"/>
            <w:tcBorders>
              <w:top w:val="single" w:sz="4" w:space="0" w:color="auto"/>
              <w:left w:val="nil"/>
              <w:bottom w:val="single" w:sz="4" w:space="0" w:color="auto"/>
              <w:right w:val="nil"/>
            </w:tcBorders>
            <w:shd w:val="clear" w:color="auto" w:fill="auto"/>
            <w:vAlign w:val="center"/>
            <w:hideMark/>
          </w:tcPr>
          <w:p w14:paraId="755DC54B"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万科</w:t>
            </w:r>
            <w:r w:rsidRPr="00E54C45">
              <w:rPr>
                <w:rFonts w:cs="Times New Roman"/>
                <w:color w:val="000000"/>
                <w:szCs w:val="21"/>
              </w:rPr>
              <w:t>A</w:t>
            </w:r>
          </w:p>
        </w:tc>
        <w:tc>
          <w:tcPr>
            <w:tcW w:w="7202" w:type="dxa"/>
            <w:tcBorders>
              <w:top w:val="single" w:sz="4" w:space="0" w:color="auto"/>
              <w:left w:val="nil"/>
              <w:bottom w:val="single" w:sz="4" w:space="0" w:color="auto"/>
              <w:right w:val="nil"/>
            </w:tcBorders>
            <w:shd w:val="clear" w:color="auto" w:fill="auto"/>
            <w:vAlign w:val="center"/>
            <w:hideMark/>
          </w:tcPr>
          <w:p w14:paraId="2966B9EC"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事业合伙人</w:t>
            </w:r>
            <w:proofErr w:type="gramStart"/>
            <w:r w:rsidRPr="00E54C45">
              <w:rPr>
                <w:rFonts w:cs="Times New Roman" w:hint="eastAsia"/>
                <w:color w:val="000000"/>
                <w:szCs w:val="21"/>
              </w:rPr>
              <w:t>深圳盈安财务</w:t>
            </w:r>
            <w:proofErr w:type="gramEnd"/>
            <w:r w:rsidRPr="00E54C45">
              <w:rPr>
                <w:rFonts w:cs="Times New Roman" w:hint="eastAsia"/>
                <w:color w:val="000000"/>
                <w:szCs w:val="21"/>
              </w:rPr>
              <w:t>顾问企业（有限合伙）以约</w:t>
            </w:r>
            <w:r w:rsidRPr="00E54C45">
              <w:rPr>
                <w:rFonts w:cs="Times New Roman"/>
                <w:color w:val="000000"/>
                <w:szCs w:val="21"/>
              </w:rPr>
              <w:t>16.3</w:t>
            </w:r>
            <w:r w:rsidRPr="00E54C45">
              <w:rPr>
                <w:rFonts w:cs="Times New Roman" w:hint="eastAsia"/>
                <w:color w:val="000000"/>
                <w:szCs w:val="21"/>
              </w:rPr>
              <w:t>亿元购入约</w:t>
            </w:r>
            <w:r w:rsidRPr="00E54C45">
              <w:rPr>
                <w:rFonts w:cs="Times New Roman"/>
                <w:color w:val="000000"/>
                <w:szCs w:val="21"/>
              </w:rPr>
              <w:t>0.7</w:t>
            </w:r>
            <w:r w:rsidRPr="00E54C45">
              <w:rPr>
                <w:rFonts w:cs="Times New Roman" w:hint="eastAsia"/>
                <w:color w:val="000000"/>
                <w:szCs w:val="21"/>
              </w:rPr>
              <w:t>亿股公司股票，占公司总股本约</w:t>
            </w:r>
            <w:r w:rsidRPr="00E54C45">
              <w:rPr>
                <w:rFonts w:cs="Times New Roman"/>
                <w:color w:val="000000"/>
                <w:szCs w:val="21"/>
              </w:rPr>
              <w:t xml:space="preserve"> 0.6%</w:t>
            </w:r>
            <w:r w:rsidRPr="00E54C45">
              <w:rPr>
                <w:rFonts w:cs="Times New Roman" w:hint="eastAsia"/>
                <w:color w:val="000000"/>
                <w:szCs w:val="21"/>
              </w:rPr>
              <w:t>。</w:t>
            </w:r>
          </w:p>
        </w:tc>
      </w:tr>
      <w:tr w:rsidR="00E54C45" w:rsidRPr="00E54C45" w14:paraId="3C41332C"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7F24C213"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2020-03-31</w:t>
            </w:r>
          </w:p>
        </w:tc>
        <w:tc>
          <w:tcPr>
            <w:tcW w:w="1599" w:type="dxa"/>
            <w:tcBorders>
              <w:top w:val="single" w:sz="4" w:space="0" w:color="auto"/>
              <w:left w:val="nil"/>
              <w:bottom w:val="single" w:sz="4" w:space="0" w:color="auto"/>
              <w:right w:val="nil"/>
            </w:tcBorders>
            <w:shd w:val="clear" w:color="auto" w:fill="auto"/>
            <w:vAlign w:val="center"/>
            <w:hideMark/>
          </w:tcPr>
          <w:p w14:paraId="40366157"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时代中国控股</w:t>
            </w:r>
          </w:p>
        </w:tc>
        <w:tc>
          <w:tcPr>
            <w:tcW w:w="7202" w:type="dxa"/>
            <w:tcBorders>
              <w:top w:val="single" w:sz="4" w:space="0" w:color="auto"/>
              <w:left w:val="nil"/>
              <w:bottom w:val="single" w:sz="4" w:space="0" w:color="auto"/>
              <w:right w:val="nil"/>
            </w:tcBorders>
            <w:shd w:val="clear" w:color="auto" w:fill="auto"/>
            <w:vAlign w:val="center"/>
            <w:hideMark/>
          </w:tcPr>
          <w:p w14:paraId="01412BFD"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成功发行</w:t>
            </w:r>
            <w:r w:rsidRPr="00E54C45">
              <w:rPr>
                <w:rFonts w:cs="Times New Roman"/>
                <w:color w:val="000000"/>
                <w:szCs w:val="21"/>
              </w:rPr>
              <w:t>25</w:t>
            </w:r>
            <w:r w:rsidRPr="00E54C45">
              <w:rPr>
                <w:rFonts w:cs="Times New Roman" w:hint="eastAsia"/>
                <w:color w:val="000000"/>
                <w:szCs w:val="21"/>
              </w:rPr>
              <w:t>亿元境内公司债券，其中包括</w:t>
            </w:r>
            <w:r w:rsidRPr="00E54C45">
              <w:rPr>
                <w:rFonts w:cs="Times New Roman"/>
                <w:color w:val="000000"/>
                <w:szCs w:val="21"/>
              </w:rPr>
              <w:t>7</w:t>
            </w:r>
            <w:r w:rsidRPr="00E54C45">
              <w:rPr>
                <w:rFonts w:cs="Times New Roman" w:hint="eastAsia"/>
                <w:color w:val="000000"/>
                <w:szCs w:val="21"/>
              </w:rPr>
              <w:t>年期</w:t>
            </w:r>
            <w:r w:rsidRPr="00E54C45">
              <w:rPr>
                <w:rFonts w:cs="Times New Roman"/>
                <w:color w:val="000000"/>
                <w:szCs w:val="21"/>
              </w:rPr>
              <w:t>6.3%</w:t>
            </w:r>
            <w:r w:rsidRPr="00E54C45">
              <w:rPr>
                <w:rFonts w:cs="Times New Roman" w:hint="eastAsia"/>
                <w:color w:val="000000"/>
                <w:szCs w:val="21"/>
              </w:rPr>
              <w:t>公司债券和</w:t>
            </w:r>
            <w:r w:rsidRPr="00E54C45">
              <w:rPr>
                <w:rFonts w:cs="Times New Roman"/>
                <w:color w:val="000000"/>
                <w:szCs w:val="21"/>
              </w:rPr>
              <w:t>5</w:t>
            </w:r>
            <w:r w:rsidRPr="00E54C45">
              <w:rPr>
                <w:rFonts w:cs="Times New Roman" w:hint="eastAsia"/>
                <w:color w:val="000000"/>
                <w:szCs w:val="21"/>
              </w:rPr>
              <w:t>年期</w:t>
            </w:r>
            <w:r w:rsidRPr="00E54C45">
              <w:rPr>
                <w:rFonts w:cs="Times New Roman"/>
                <w:color w:val="000000"/>
                <w:szCs w:val="21"/>
              </w:rPr>
              <w:t>5.1%</w:t>
            </w:r>
            <w:r w:rsidRPr="00E54C45">
              <w:rPr>
                <w:rFonts w:cs="Times New Roman" w:hint="eastAsia"/>
                <w:color w:val="000000"/>
                <w:szCs w:val="21"/>
              </w:rPr>
              <w:t>公司债券。</w:t>
            </w:r>
          </w:p>
        </w:tc>
      </w:tr>
      <w:tr w:rsidR="00E54C45" w:rsidRPr="00E54C45" w14:paraId="4F903F68"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2C54E38C"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2020-03-31</w:t>
            </w:r>
          </w:p>
        </w:tc>
        <w:tc>
          <w:tcPr>
            <w:tcW w:w="1599" w:type="dxa"/>
            <w:tcBorders>
              <w:top w:val="single" w:sz="4" w:space="0" w:color="auto"/>
              <w:left w:val="nil"/>
              <w:bottom w:val="single" w:sz="4" w:space="0" w:color="auto"/>
              <w:right w:val="nil"/>
            </w:tcBorders>
            <w:shd w:val="clear" w:color="auto" w:fill="auto"/>
            <w:vAlign w:val="center"/>
            <w:hideMark/>
          </w:tcPr>
          <w:p w14:paraId="4FAA3884"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招商蛇口</w:t>
            </w:r>
          </w:p>
        </w:tc>
        <w:tc>
          <w:tcPr>
            <w:tcW w:w="7202" w:type="dxa"/>
            <w:tcBorders>
              <w:top w:val="single" w:sz="4" w:space="0" w:color="auto"/>
              <w:left w:val="nil"/>
              <w:bottom w:val="single" w:sz="4" w:space="0" w:color="auto"/>
              <w:right w:val="nil"/>
            </w:tcBorders>
            <w:shd w:val="clear" w:color="auto" w:fill="auto"/>
            <w:vAlign w:val="center"/>
            <w:hideMark/>
          </w:tcPr>
          <w:p w14:paraId="504704CE"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发行</w:t>
            </w:r>
            <w:r w:rsidRPr="00E54C45">
              <w:rPr>
                <w:rFonts w:cs="Times New Roman"/>
                <w:color w:val="000000"/>
                <w:szCs w:val="21"/>
              </w:rPr>
              <w:t>10</w:t>
            </w:r>
            <w:r w:rsidRPr="00E54C45">
              <w:rPr>
                <w:rFonts w:cs="Times New Roman" w:hint="eastAsia"/>
                <w:color w:val="000000"/>
                <w:szCs w:val="21"/>
              </w:rPr>
              <w:t>亿元</w:t>
            </w:r>
            <w:r w:rsidRPr="00E54C45">
              <w:rPr>
                <w:rFonts w:cs="Times New Roman"/>
                <w:color w:val="000000"/>
                <w:szCs w:val="21"/>
              </w:rPr>
              <w:t>2.20%</w:t>
            </w:r>
            <w:r w:rsidRPr="00E54C45">
              <w:rPr>
                <w:rFonts w:cs="Times New Roman" w:hint="eastAsia"/>
                <w:color w:val="000000"/>
                <w:szCs w:val="21"/>
              </w:rPr>
              <w:t>超短期融资</w:t>
            </w:r>
            <w:proofErr w:type="gramStart"/>
            <w:r w:rsidRPr="00E54C45">
              <w:rPr>
                <w:rFonts w:cs="Times New Roman" w:hint="eastAsia"/>
                <w:color w:val="000000"/>
                <w:szCs w:val="21"/>
              </w:rPr>
              <w:t>券</w:t>
            </w:r>
            <w:proofErr w:type="gramEnd"/>
            <w:r w:rsidRPr="00E54C45">
              <w:rPr>
                <w:rFonts w:cs="Times New Roman" w:hint="eastAsia"/>
                <w:color w:val="000000"/>
                <w:szCs w:val="21"/>
              </w:rPr>
              <w:t>和</w:t>
            </w:r>
            <w:r w:rsidRPr="00E54C45">
              <w:rPr>
                <w:rFonts w:cs="Times New Roman"/>
                <w:color w:val="000000"/>
                <w:szCs w:val="21"/>
              </w:rPr>
              <w:t>12.5</w:t>
            </w:r>
            <w:r w:rsidRPr="00E54C45">
              <w:rPr>
                <w:rFonts w:cs="Times New Roman" w:hint="eastAsia"/>
                <w:color w:val="000000"/>
                <w:szCs w:val="21"/>
              </w:rPr>
              <w:t>亿元</w:t>
            </w:r>
            <w:r w:rsidRPr="00E54C45">
              <w:rPr>
                <w:rFonts w:cs="Times New Roman"/>
                <w:color w:val="000000"/>
                <w:szCs w:val="21"/>
              </w:rPr>
              <w:t>2.20%</w:t>
            </w:r>
            <w:r w:rsidRPr="00E54C45">
              <w:rPr>
                <w:rFonts w:cs="Times New Roman" w:hint="eastAsia"/>
                <w:color w:val="000000"/>
                <w:szCs w:val="21"/>
              </w:rPr>
              <w:t>超短期融资</w:t>
            </w:r>
            <w:proofErr w:type="gramStart"/>
            <w:r w:rsidRPr="00E54C45">
              <w:rPr>
                <w:rFonts w:cs="Times New Roman" w:hint="eastAsia"/>
                <w:color w:val="000000"/>
                <w:szCs w:val="21"/>
              </w:rPr>
              <w:t>券</w:t>
            </w:r>
            <w:proofErr w:type="gramEnd"/>
            <w:r w:rsidRPr="00E54C45">
              <w:rPr>
                <w:rFonts w:cs="Times New Roman" w:hint="eastAsia"/>
                <w:color w:val="000000"/>
                <w:szCs w:val="21"/>
              </w:rPr>
              <w:t>，期限分别为</w:t>
            </w:r>
            <w:r w:rsidRPr="00E54C45">
              <w:rPr>
                <w:rFonts w:cs="Times New Roman"/>
                <w:color w:val="000000"/>
                <w:szCs w:val="21"/>
              </w:rPr>
              <w:t>143</w:t>
            </w:r>
            <w:r w:rsidRPr="00E54C45">
              <w:rPr>
                <w:rFonts w:cs="Times New Roman" w:hint="eastAsia"/>
                <w:color w:val="000000"/>
                <w:szCs w:val="21"/>
              </w:rPr>
              <w:t>天和</w:t>
            </w:r>
            <w:r w:rsidRPr="00E54C45">
              <w:rPr>
                <w:rFonts w:cs="Times New Roman"/>
                <w:color w:val="000000"/>
                <w:szCs w:val="21"/>
              </w:rPr>
              <w:t>150</w:t>
            </w:r>
            <w:r w:rsidRPr="00E54C45">
              <w:rPr>
                <w:rFonts w:cs="Times New Roman" w:hint="eastAsia"/>
                <w:color w:val="000000"/>
                <w:szCs w:val="21"/>
              </w:rPr>
              <w:t>天。</w:t>
            </w:r>
          </w:p>
        </w:tc>
      </w:tr>
      <w:tr w:rsidR="00E54C45" w:rsidRPr="00E54C45" w14:paraId="3437950F"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6BDD5A30"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2020-03-31</w:t>
            </w:r>
          </w:p>
        </w:tc>
        <w:tc>
          <w:tcPr>
            <w:tcW w:w="1599" w:type="dxa"/>
            <w:tcBorders>
              <w:top w:val="single" w:sz="4" w:space="0" w:color="auto"/>
              <w:left w:val="nil"/>
              <w:bottom w:val="single" w:sz="4" w:space="0" w:color="auto"/>
              <w:right w:val="nil"/>
            </w:tcBorders>
            <w:shd w:val="clear" w:color="auto" w:fill="auto"/>
            <w:vAlign w:val="center"/>
            <w:hideMark/>
          </w:tcPr>
          <w:p w14:paraId="25D9C260" w14:textId="77777777" w:rsidR="00E54C45" w:rsidRPr="00E54C45" w:rsidRDefault="00E54C45" w:rsidP="00E54C45">
            <w:pPr>
              <w:spacing w:after="0" w:line="240" w:lineRule="auto"/>
              <w:ind w:right="0"/>
              <w:jc w:val="left"/>
              <w:rPr>
                <w:rFonts w:cs="Times New Roman"/>
                <w:color w:val="000000"/>
                <w:szCs w:val="21"/>
              </w:rPr>
            </w:pPr>
            <w:proofErr w:type="gramStart"/>
            <w:r w:rsidRPr="00E54C45">
              <w:rPr>
                <w:rFonts w:cs="Times New Roman" w:hint="eastAsia"/>
                <w:color w:val="000000"/>
                <w:szCs w:val="21"/>
              </w:rPr>
              <w:t>世</w:t>
            </w:r>
            <w:proofErr w:type="gramEnd"/>
            <w:r w:rsidRPr="00E54C45">
              <w:rPr>
                <w:rFonts w:cs="Times New Roman" w:hint="eastAsia"/>
                <w:color w:val="000000"/>
                <w:szCs w:val="21"/>
              </w:rPr>
              <w:t>茂股份</w:t>
            </w:r>
          </w:p>
        </w:tc>
        <w:tc>
          <w:tcPr>
            <w:tcW w:w="7202" w:type="dxa"/>
            <w:tcBorders>
              <w:top w:val="single" w:sz="4" w:space="0" w:color="auto"/>
              <w:left w:val="nil"/>
              <w:bottom w:val="single" w:sz="4" w:space="0" w:color="auto"/>
              <w:right w:val="nil"/>
            </w:tcBorders>
            <w:shd w:val="clear" w:color="auto" w:fill="auto"/>
            <w:vAlign w:val="center"/>
            <w:hideMark/>
          </w:tcPr>
          <w:p w14:paraId="2E0295BF"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公司第三大股东上海世茂投资管理有限公司累计增持约</w:t>
            </w:r>
            <w:r w:rsidRPr="00E54C45">
              <w:rPr>
                <w:rFonts w:cs="Times New Roman"/>
                <w:color w:val="000000"/>
                <w:szCs w:val="21"/>
              </w:rPr>
              <w:t>1.1</w:t>
            </w:r>
            <w:r w:rsidRPr="00E54C45">
              <w:rPr>
                <w:rFonts w:cs="Times New Roman" w:hint="eastAsia"/>
                <w:color w:val="000000"/>
                <w:szCs w:val="21"/>
              </w:rPr>
              <w:t>亿股，占公司总股本约</w:t>
            </w:r>
            <w:r w:rsidRPr="00E54C45">
              <w:rPr>
                <w:rFonts w:cs="Times New Roman"/>
                <w:color w:val="000000"/>
                <w:szCs w:val="21"/>
              </w:rPr>
              <w:t>3.03%</w:t>
            </w:r>
            <w:r w:rsidRPr="00E54C45">
              <w:rPr>
                <w:rFonts w:cs="Times New Roman" w:hint="eastAsia"/>
                <w:color w:val="000000"/>
                <w:szCs w:val="21"/>
              </w:rPr>
              <w:t>，总持股比例达到公司总股本约</w:t>
            </w:r>
            <w:r w:rsidRPr="00E54C45">
              <w:rPr>
                <w:rFonts w:cs="Times New Roman"/>
                <w:color w:val="000000"/>
                <w:szCs w:val="21"/>
              </w:rPr>
              <w:t>8.67%</w:t>
            </w:r>
            <w:r w:rsidRPr="00E54C45">
              <w:rPr>
                <w:rFonts w:cs="Times New Roman" w:hint="eastAsia"/>
                <w:color w:val="000000"/>
                <w:szCs w:val="21"/>
              </w:rPr>
              <w:t>。</w:t>
            </w:r>
          </w:p>
        </w:tc>
      </w:tr>
      <w:tr w:rsidR="00E54C45" w:rsidRPr="00E54C45" w14:paraId="2BAC8197"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535E1DAA"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2020-03-31</w:t>
            </w:r>
          </w:p>
        </w:tc>
        <w:tc>
          <w:tcPr>
            <w:tcW w:w="1599" w:type="dxa"/>
            <w:tcBorders>
              <w:top w:val="single" w:sz="4" w:space="0" w:color="auto"/>
              <w:left w:val="nil"/>
              <w:bottom w:val="single" w:sz="4" w:space="0" w:color="auto"/>
              <w:right w:val="nil"/>
            </w:tcBorders>
            <w:shd w:val="clear" w:color="auto" w:fill="auto"/>
            <w:vAlign w:val="center"/>
            <w:hideMark/>
          </w:tcPr>
          <w:p w14:paraId="5CA4EBF5"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蓝光发展</w:t>
            </w:r>
          </w:p>
        </w:tc>
        <w:tc>
          <w:tcPr>
            <w:tcW w:w="7202" w:type="dxa"/>
            <w:tcBorders>
              <w:top w:val="single" w:sz="4" w:space="0" w:color="auto"/>
              <w:left w:val="nil"/>
              <w:bottom w:val="single" w:sz="4" w:space="0" w:color="auto"/>
              <w:right w:val="nil"/>
            </w:tcBorders>
            <w:shd w:val="clear" w:color="auto" w:fill="auto"/>
            <w:vAlign w:val="center"/>
            <w:hideMark/>
          </w:tcPr>
          <w:p w14:paraId="3DFCF0BE"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color w:val="000000"/>
                <w:szCs w:val="21"/>
              </w:rPr>
              <w:t>2020</w:t>
            </w:r>
            <w:r w:rsidRPr="00E54C45">
              <w:rPr>
                <w:rFonts w:cs="Times New Roman" w:hint="eastAsia"/>
                <w:color w:val="000000"/>
                <w:szCs w:val="21"/>
              </w:rPr>
              <w:t>年一季度，公司</w:t>
            </w:r>
            <w:r w:rsidRPr="00E54C45">
              <w:rPr>
                <w:rFonts w:cs="Times New Roman"/>
                <w:color w:val="000000"/>
                <w:szCs w:val="21"/>
              </w:rPr>
              <w:t>2018</w:t>
            </w:r>
            <w:r w:rsidRPr="00E54C45">
              <w:rPr>
                <w:rFonts w:cs="Times New Roman" w:hint="eastAsia"/>
                <w:color w:val="000000"/>
                <w:szCs w:val="21"/>
              </w:rPr>
              <w:t>年股票期权激励计划行权并完成股份过户登记</w:t>
            </w:r>
            <w:r w:rsidRPr="00E54C45">
              <w:rPr>
                <w:rFonts w:cs="Times New Roman"/>
                <w:color w:val="000000"/>
                <w:szCs w:val="21"/>
              </w:rPr>
              <w:t>365</w:t>
            </w:r>
            <w:r w:rsidRPr="00E54C45">
              <w:rPr>
                <w:rFonts w:cs="Times New Roman" w:hint="eastAsia"/>
                <w:color w:val="000000"/>
                <w:szCs w:val="21"/>
              </w:rPr>
              <w:t>万股，占可行权股票期权总量的</w:t>
            </w:r>
            <w:r w:rsidRPr="00E54C45">
              <w:rPr>
                <w:rFonts w:cs="Times New Roman"/>
                <w:color w:val="000000"/>
                <w:szCs w:val="21"/>
              </w:rPr>
              <w:t>6.48%</w:t>
            </w:r>
            <w:r w:rsidRPr="00E54C45">
              <w:rPr>
                <w:rFonts w:cs="Times New Roman" w:hint="eastAsia"/>
                <w:color w:val="000000"/>
                <w:szCs w:val="21"/>
              </w:rPr>
              <w:t>。</w:t>
            </w:r>
          </w:p>
        </w:tc>
      </w:tr>
      <w:tr w:rsidR="00E54C45" w:rsidRPr="00E54C45" w14:paraId="4243C2DA"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13F44C29"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2020-04-01</w:t>
            </w:r>
          </w:p>
        </w:tc>
        <w:tc>
          <w:tcPr>
            <w:tcW w:w="1599" w:type="dxa"/>
            <w:tcBorders>
              <w:top w:val="single" w:sz="4" w:space="0" w:color="auto"/>
              <w:left w:val="nil"/>
              <w:bottom w:val="single" w:sz="4" w:space="0" w:color="auto"/>
              <w:right w:val="nil"/>
            </w:tcBorders>
            <w:shd w:val="clear" w:color="auto" w:fill="auto"/>
            <w:vAlign w:val="center"/>
            <w:hideMark/>
          </w:tcPr>
          <w:p w14:paraId="1E1A6D41"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华侨城</w:t>
            </w:r>
            <w:r w:rsidRPr="00E54C45">
              <w:rPr>
                <w:rFonts w:cs="Times New Roman"/>
                <w:color w:val="000000"/>
                <w:szCs w:val="21"/>
              </w:rPr>
              <w:t>A</w:t>
            </w:r>
          </w:p>
        </w:tc>
        <w:tc>
          <w:tcPr>
            <w:tcW w:w="7202" w:type="dxa"/>
            <w:tcBorders>
              <w:top w:val="single" w:sz="4" w:space="0" w:color="auto"/>
              <w:left w:val="nil"/>
              <w:bottom w:val="single" w:sz="4" w:space="0" w:color="auto"/>
              <w:right w:val="nil"/>
            </w:tcBorders>
            <w:shd w:val="clear" w:color="auto" w:fill="auto"/>
            <w:vAlign w:val="center"/>
            <w:hideMark/>
          </w:tcPr>
          <w:p w14:paraId="76DE1E77"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公司支付约</w:t>
            </w:r>
            <w:r w:rsidRPr="00E54C45">
              <w:rPr>
                <w:rFonts w:cs="Times New Roman"/>
                <w:color w:val="000000"/>
                <w:szCs w:val="21"/>
              </w:rPr>
              <w:t>1.8</w:t>
            </w:r>
            <w:r w:rsidRPr="00E54C45">
              <w:rPr>
                <w:rFonts w:cs="Times New Roman" w:hint="eastAsia"/>
                <w:color w:val="000000"/>
                <w:szCs w:val="21"/>
              </w:rPr>
              <w:t>亿元购回约</w:t>
            </w:r>
            <w:r w:rsidRPr="00E54C45">
              <w:rPr>
                <w:rFonts w:cs="Times New Roman"/>
                <w:color w:val="000000"/>
                <w:szCs w:val="21"/>
              </w:rPr>
              <w:t>2869.5</w:t>
            </w:r>
            <w:r w:rsidRPr="00E54C45">
              <w:rPr>
                <w:rFonts w:cs="Times New Roman" w:hint="eastAsia"/>
                <w:color w:val="000000"/>
                <w:szCs w:val="21"/>
              </w:rPr>
              <w:t>万股，占公司总股本约</w:t>
            </w:r>
            <w:r w:rsidRPr="00E54C45">
              <w:rPr>
                <w:rFonts w:cs="Times New Roman"/>
                <w:color w:val="000000"/>
                <w:szCs w:val="21"/>
              </w:rPr>
              <w:t>0.35%</w:t>
            </w:r>
            <w:r w:rsidRPr="00E54C45">
              <w:rPr>
                <w:rFonts w:cs="Times New Roman" w:hint="eastAsia"/>
                <w:color w:val="000000"/>
                <w:szCs w:val="21"/>
              </w:rPr>
              <w:t>，成交价为</w:t>
            </w:r>
            <w:r w:rsidRPr="00E54C45">
              <w:rPr>
                <w:rFonts w:cs="Times New Roman"/>
                <w:color w:val="000000"/>
                <w:szCs w:val="21"/>
              </w:rPr>
              <w:t>6.38~6.50</w:t>
            </w:r>
            <w:r w:rsidRPr="00E54C45">
              <w:rPr>
                <w:rFonts w:cs="Times New Roman" w:hint="eastAsia"/>
                <w:color w:val="000000"/>
                <w:szCs w:val="21"/>
              </w:rPr>
              <w:t>元</w:t>
            </w:r>
            <w:r w:rsidRPr="00E54C45">
              <w:rPr>
                <w:rFonts w:cs="Times New Roman"/>
                <w:color w:val="000000"/>
                <w:szCs w:val="21"/>
              </w:rPr>
              <w:t>/</w:t>
            </w:r>
            <w:r w:rsidRPr="00E54C45">
              <w:rPr>
                <w:rFonts w:cs="Times New Roman" w:hint="eastAsia"/>
                <w:color w:val="000000"/>
                <w:szCs w:val="21"/>
              </w:rPr>
              <w:t>股。</w:t>
            </w:r>
          </w:p>
        </w:tc>
      </w:tr>
      <w:tr w:rsidR="00E54C45" w:rsidRPr="00E54C45" w14:paraId="1E35E742"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3C96F658"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2020-04-01</w:t>
            </w:r>
          </w:p>
        </w:tc>
        <w:tc>
          <w:tcPr>
            <w:tcW w:w="1599" w:type="dxa"/>
            <w:tcBorders>
              <w:top w:val="single" w:sz="4" w:space="0" w:color="auto"/>
              <w:left w:val="nil"/>
              <w:bottom w:val="single" w:sz="4" w:space="0" w:color="auto"/>
              <w:right w:val="nil"/>
            </w:tcBorders>
            <w:shd w:val="clear" w:color="auto" w:fill="auto"/>
            <w:vAlign w:val="center"/>
            <w:hideMark/>
          </w:tcPr>
          <w:p w14:paraId="06755CF2"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上海临港</w:t>
            </w:r>
          </w:p>
        </w:tc>
        <w:tc>
          <w:tcPr>
            <w:tcW w:w="7202" w:type="dxa"/>
            <w:tcBorders>
              <w:top w:val="single" w:sz="4" w:space="0" w:color="auto"/>
              <w:left w:val="nil"/>
              <w:bottom w:val="single" w:sz="4" w:space="0" w:color="auto"/>
              <w:right w:val="nil"/>
            </w:tcBorders>
            <w:shd w:val="clear" w:color="auto" w:fill="auto"/>
            <w:vAlign w:val="center"/>
            <w:hideMark/>
          </w:tcPr>
          <w:p w14:paraId="5F7B749F"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发行</w:t>
            </w:r>
            <w:r w:rsidRPr="00E54C45">
              <w:rPr>
                <w:rFonts w:cs="Times New Roman"/>
                <w:color w:val="000000"/>
                <w:szCs w:val="21"/>
              </w:rPr>
              <w:t>10</w:t>
            </w:r>
            <w:r w:rsidRPr="00E54C45">
              <w:rPr>
                <w:rFonts w:cs="Times New Roman" w:hint="eastAsia"/>
                <w:color w:val="000000"/>
                <w:szCs w:val="21"/>
              </w:rPr>
              <w:t>亿元</w:t>
            </w:r>
            <w:r w:rsidRPr="00E54C45">
              <w:rPr>
                <w:rFonts w:cs="Times New Roman"/>
                <w:color w:val="000000"/>
                <w:szCs w:val="21"/>
              </w:rPr>
              <w:t>1.95%</w:t>
            </w:r>
            <w:r w:rsidRPr="00E54C45">
              <w:rPr>
                <w:rFonts w:cs="Times New Roman" w:hint="eastAsia"/>
                <w:color w:val="000000"/>
                <w:szCs w:val="21"/>
              </w:rPr>
              <w:t>超短期融资</w:t>
            </w:r>
            <w:proofErr w:type="gramStart"/>
            <w:r w:rsidRPr="00E54C45">
              <w:rPr>
                <w:rFonts w:cs="Times New Roman" w:hint="eastAsia"/>
                <w:color w:val="000000"/>
                <w:szCs w:val="21"/>
              </w:rPr>
              <w:t>券</w:t>
            </w:r>
            <w:proofErr w:type="gramEnd"/>
            <w:r w:rsidRPr="00E54C45">
              <w:rPr>
                <w:rFonts w:cs="Times New Roman" w:hint="eastAsia"/>
                <w:color w:val="000000"/>
                <w:szCs w:val="21"/>
              </w:rPr>
              <w:t>，期限为</w:t>
            </w:r>
            <w:r w:rsidRPr="00E54C45">
              <w:rPr>
                <w:rFonts w:cs="Times New Roman"/>
                <w:color w:val="000000"/>
                <w:szCs w:val="21"/>
              </w:rPr>
              <w:t>120</w:t>
            </w:r>
            <w:r w:rsidRPr="00E54C45">
              <w:rPr>
                <w:rFonts w:cs="Times New Roman" w:hint="eastAsia"/>
                <w:color w:val="000000"/>
                <w:szCs w:val="21"/>
              </w:rPr>
              <w:t>天。</w:t>
            </w:r>
          </w:p>
        </w:tc>
      </w:tr>
      <w:tr w:rsidR="00E54C45" w:rsidRPr="00E54C45" w14:paraId="5D6C8510"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14F58D3F"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2020-04-02</w:t>
            </w:r>
          </w:p>
        </w:tc>
        <w:tc>
          <w:tcPr>
            <w:tcW w:w="1599" w:type="dxa"/>
            <w:tcBorders>
              <w:top w:val="single" w:sz="4" w:space="0" w:color="auto"/>
              <w:left w:val="nil"/>
              <w:bottom w:val="single" w:sz="4" w:space="0" w:color="auto"/>
              <w:right w:val="nil"/>
            </w:tcBorders>
            <w:shd w:val="clear" w:color="auto" w:fill="auto"/>
            <w:vAlign w:val="center"/>
            <w:hideMark/>
          </w:tcPr>
          <w:p w14:paraId="2B385B31"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碧</w:t>
            </w:r>
            <w:proofErr w:type="gramStart"/>
            <w:r w:rsidRPr="00E54C45">
              <w:rPr>
                <w:rFonts w:cs="Times New Roman" w:hint="eastAsia"/>
                <w:color w:val="000000"/>
                <w:szCs w:val="21"/>
              </w:rPr>
              <w:t>桂园</w:t>
            </w:r>
            <w:proofErr w:type="gramEnd"/>
          </w:p>
        </w:tc>
        <w:tc>
          <w:tcPr>
            <w:tcW w:w="7202" w:type="dxa"/>
            <w:tcBorders>
              <w:top w:val="single" w:sz="4" w:space="0" w:color="auto"/>
              <w:left w:val="nil"/>
              <w:bottom w:val="single" w:sz="4" w:space="0" w:color="auto"/>
              <w:right w:val="nil"/>
            </w:tcBorders>
            <w:shd w:val="clear" w:color="auto" w:fill="auto"/>
            <w:vAlign w:val="center"/>
            <w:hideMark/>
          </w:tcPr>
          <w:p w14:paraId="2C0F2E36"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成功</w:t>
            </w:r>
            <w:bookmarkStart w:id="14" w:name="_Hlk36974299"/>
            <w:r w:rsidRPr="00E54C45">
              <w:rPr>
                <w:rFonts w:cs="Times New Roman" w:hint="eastAsia"/>
                <w:color w:val="000000"/>
                <w:szCs w:val="21"/>
              </w:rPr>
              <w:t>发行</w:t>
            </w:r>
            <w:r w:rsidRPr="00E54C45">
              <w:rPr>
                <w:rFonts w:cs="Times New Roman"/>
                <w:color w:val="000000"/>
                <w:szCs w:val="21"/>
              </w:rPr>
              <w:t>5</w:t>
            </w:r>
            <w:r w:rsidRPr="00E54C45">
              <w:rPr>
                <w:rFonts w:cs="Times New Roman" w:hint="eastAsia"/>
                <w:color w:val="000000"/>
                <w:szCs w:val="21"/>
              </w:rPr>
              <w:t>年期</w:t>
            </w:r>
            <w:r w:rsidRPr="00E54C45">
              <w:rPr>
                <w:rFonts w:cs="Times New Roman"/>
                <w:color w:val="000000"/>
                <w:szCs w:val="21"/>
              </w:rPr>
              <w:t>34</w:t>
            </w:r>
            <w:r w:rsidRPr="00E54C45">
              <w:rPr>
                <w:rFonts w:cs="Times New Roman" w:hint="eastAsia"/>
                <w:color w:val="000000"/>
                <w:szCs w:val="21"/>
              </w:rPr>
              <w:t>亿元</w:t>
            </w:r>
            <w:r w:rsidRPr="00E54C45">
              <w:rPr>
                <w:rFonts w:cs="Times New Roman"/>
                <w:color w:val="000000"/>
                <w:szCs w:val="21"/>
              </w:rPr>
              <w:t>4.2%</w:t>
            </w:r>
            <w:r w:rsidRPr="00E54C45">
              <w:rPr>
                <w:rFonts w:cs="Times New Roman" w:hint="eastAsia"/>
                <w:color w:val="000000"/>
                <w:szCs w:val="21"/>
              </w:rPr>
              <w:t>公司债券</w:t>
            </w:r>
            <w:bookmarkEnd w:id="14"/>
            <w:r w:rsidRPr="00E54C45">
              <w:rPr>
                <w:rFonts w:cs="Times New Roman" w:hint="eastAsia"/>
                <w:color w:val="000000"/>
                <w:szCs w:val="21"/>
              </w:rPr>
              <w:t>。</w:t>
            </w:r>
          </w:p>
        </w:tc>
      </w:tr>
      <w:tr w:rsidR="00E54C45" w:rsidRPr="00E54C45" w14:paraId="5C26F1D9"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2739A08A"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2020-04-02</w:t>
            </w:r>
          </w:p>
        </w:tc>
        <w:tc>
          <w:tcPr>
            <w:tcW w:w="1599" w:type="dxa"/>
            <w:tcBorders>
              <w:top w:val="single" w:sz="4" w:space="0" w:color="auto"/>
              <w:left w:val="nil"/>
              <w:bottom w:val="single" w:sz="4" w:space="0" w:color="auto"/>
              <w:right w:val="nil"/>
            </w:tcBorders>
            <w:shd w:val="clear" w:color="auto" w:fill="auto"/>
            <w:vAlign w:val="center"/>
            <w:hideMark/>
          </w:tcPr>
          <w:p w14:paraId="68D08CEC"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中南建设</w:t>
            </w:r>
          </w:p>
        </w:tc>
        <w:tc>
          <w:tcPr>
            <w:tcW w:w="7202" w:type="dxa"/>
            <w:tcBorders>
              <w:top w:val="single" w:sz="4" w:space="0" w:color="auto"/>
              <w:left w:val="nil"/>
              <w:bottom w:val="single" w:sz="4" w:space="0" w:color="auto"/>
              <w:right w:val="nil"/>
            </w:tcBorders>
            <w:shd w:val="clear" w:color="auto" w:fill="auto"/>
            <w:vAlign w:val="center"/>
            <w:hideMark/>
          </w:tcPr>
          <w:p w14:paraId="23BB1BD1"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color w:val="000000"/>
                <w:szCs w:val="21"/>
              </w:rPr>
              <w:t>2020</w:t>
            </w:r>
            <w:r w:rsidRPr="00E54C45">
              <w:rPr>
                <w:rFonts w:cs="Times New Roman" w:hint="eastAsia"/>
                <w:color w:val="000000"/>
                <w:szCs w:val="21"/>
              </w:rPr>
              <w:t>年</w:t>
            </w:r>
            <w:r w:rsidRPr="00E54C45">
              <w:rPr>
                <w:rFonts w:cs="Times New Roman"/>
                <w:color w:val="000000"/>
                <w:szCs w:val="21"/>
              </w:rPr>
              <w:t>3</w:t>
            </w:r>
            <w:r w:rsidRPr="00E54C45">
              <w:rPr>
                <w:rFonts w:cs="Times New Roman" w:hint="eastAsia"/>
                <w:color w:val="000000"/>
                <w:szCs w:val="21"/>
              </w:rPr>
              <w:t>月，公司于南通、常州、温州、商丘获得房地产项目共</w:t>
            </w:r>
            <w:r w:rsidRPr="00E54C45">
              <w:rPr>
                <w:rFonts w:cs="Times New Roman"/>
                <w:color w:val="000000"/>
                <w:szCs w:val="21"/>
              </w:rPr>
              <w:t>7</w:t>
            </w:r>
            <w:r w:rsidRPr="00E54C45">
              <w:rPr>
                <w:rFonts w:cs="Times New Roman" w:hint="eastAsia"/>
                <w:color w:val="000000"/>
                <w:szCs w:val="21"/>
              </w:rPr>
              <w:t>个。</w:t>
            </w:r>
          </w:p>
        </w:tc>
      </w:tr>
      <w:tr w:rsidR="00E54C45" w:rsidRPr="00E54C45" w14:paraId="10C7C7CE"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5D18F243"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2020-04-02</w:t>
            </w:r>
          </w:p>
        </w:tc>
        <w:tc>
          <w:tcPr>
            <w:tcW w:w="1599" w:type="dxa"/>
            <w:tcBorders>
              <w:top w:val="single" w:sz="4" w:space="0" w:color="auto"/>
              <w:left w:val="nil"/>
              <w:bottom w:val="single" w:sz="4" w:space="0" w:color="auto"/>
              <w:right w:val="nil"/>
            </w:tcBorders>
            <w:shd w:val="clear" w:color="auto" w:fill="auto"/>
            <w:vAlign w:val="center"/>
            <w:hideMark/>
          </w:tcPr>
          <w:p w14:paraId="2112EBC7"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万科</w:t>
            </w:r>
            <w:r w:rsidRPr="00E54C45">
              <w:rPr>
                <w:rFonts w:cs="Times New Roman" w:hint="eastAsia"/>
                <w:color w:val="000000"/>
                <w:szCs w:val="21"/>
              </w:rPr>
              <w:t>A</w:t>
            </w:r>
          </w:p>
        </w:tc>
        <w:tc>
          <w:tcPr>
            <w:tcW w:w="7202" w:type="dxa"/>
            <w:tcBorders>
              <w:top w:val="single" w:sz="4" w:space="0" w:color="auto"/>
              <w:left w:val="nil"/>
              <w:bottom w:val="single" w:sz="4" w:space="0" w:color="auto"/>
              <w:right w:val="nil"/>
            </w:tcBorders>
            <w:shd w:val="clear" w:color="auto" w:fill="auto"/>
            <w:vAlign w:val="center"/>
            <w:hideMark/>
          </w:tcPr>
          <w:p w14:paraId="6DEBF94C"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color w:val="000000"/>
                <w:szCs w:val="21"/>
              </w:rPr>
              <w:t>2020</w:t>
            </w:r>
            <w:r w:rsidRPr="00E54C45">
              <w:rPr>
                <w:rFonts w:cs="Times New Roman" w:hint="eastAsia"/>
                <w:color w:val="000000"/>
                <w:szCs w:val="21"/>
              </w:rPr>
              <w:t>年</w:t>
            </w:r>
            <w:r w:rsidRPr="00E54C45">
              <w:rPr>
                <w:rFonts w:cs="Times New Roman"/>
                <w:color w:val="000000"/>
                <w:szCs w:val="21"/>
              </w:rPr>
              <w:t>3</w:t>
            </w:r>
            <w:r w:rsidRPr="00E54C45">
              <w:rPr>
                <w:rFonts w:cs="Times New Roman" w:hint="eastAsia"/>
                <w:color w:val="000000"/>
                <w:szCs w:val="21"/>
              </w:rPr>
              <w:t>月，公司于包头、乌鲁木齐、郑州、兰州获得房地产项目共</w:t>
            </w:r>
            <w:r w:rsidRPr="00E54C45">
              <w:rPr>
                <w:rFonts w:cs="Times New Roman"/>
                <w:color w:val="000000"/>
                <w:szCs w:val="21"/>
              </w:rPr>
              <w:t>4</w:t>
            </w:r>
            <w:r w:rsidRPr="00E54C45">
              <w:rPr>
                <w:rFonts w:cs="Times New Roman" w:hint="eastAsia"/>
                <w:color w:val="000000"/>
                <w:szCs w:val="21"/>
              </w:rPr>
              <w:t>个。</w:t>
            </w:r>
          </w:p>
        </w:tc>
      </w:tr>
      <w:tr w:rsidR="00E54C45" w:rsidRPr="00E54C45" w14:paraId="5D1907BF"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5B48F297"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2020-04-02</w:t>
            </w:r>
          </w:p>
        </w:tc>
        <w:tc>
          <w:tcPr>
            <w:tcW w:w="1599" w:type="dxa"/>
            <w:tcBorders>
              <w:top w:val="single" w:sz="4" w:space="0" w:color="auto"/>
              <w:left w:val="nil"/>
              <w:bottom w:val="single" w:sz="4" w:space="0" w:color="auto"/>
              <w:right w:val="nil"/>
            </w:tcBorders>
            <w:shd w:val="clear" w:color="auto" w:fill="auto"/>
            <w:vAlign w:val="center"/>
            <w:hideMark/>
          </w:tcPr>
          <w:p w14:paraId="188F7302"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阳光城</w:t>
            </w:r>
          </w:p>
        </w:tc>
        <w:tc>
          <w:tcPr>
            <w:tcW w:w="7202" w:type="dxa"/>
            <w:tcBorders>
              <w:top w:val="single" w:sz="4" w:space="0" w:color="auto"/>
              <w:left w:val="nil"/>
              <w:bottom w:val="single" w:sz="4" w:space="0" w:color="auto"/>
              <w:right w:val="nil"/>
            </w:tcBorders>
            <w:shd w:val="clear" w:color="auto" w:fill="auto"/>
            <w:vAlign w:val="center"/>
            <w:hideMark/>
          </w:tcPr>
          <w:p w14:paraId="523BD9A2" w14:textId="77777777" w:rsidR="00E54C45" w:rsidRPr="00E54C45" w:rsidRDefault="00E54C45" w:rsidP="00E54C45">
            <w:pPr>
              <w:spacing w:after="0" w:line="240" w:lineRule="auto"/>
              <w:ind w:right="0"/>
              <w:jc w:val="left"/>
              <w:rPr>
                <w:rFonts w:cs="Times New Roman"/>
                <w:color w:val="000000"/>
                <w:szCs w:val="21"/>
              </w:rPr>
            </w:pPr>
            <w:bookmarkStart w:id="15" w:name="_Hlk36974330"/>
            <w:r w:rsidRPr="00E54C45">
              <w:rPr>
                <w:rFonts w:cs="Times New Roman" w:hint="eastAsia"/>
                <w:color w:val="000000"/>
                <w:szCs w:val="21"/>
              </w:rPr>
              <w:t>获证监会批准向合格投资者公开发行面值总额不超过</w:t>
            </w:r>
            <w:r w:rsidRPr="00E54C45">
              <w:rPr>
                <w:rFonts w:cs="Times New Roman"/>
                <w:color w:val="000000"/>
                <w:szCs w:val="21"/>
              </w:rPr>
              <w:t>80</w:t>
            </w:r>
            <w:r w:rsidRPr="00E54C45">
              <w:rPr>
                <w:rFonts w:cs="Times New Roman" w:hint="eastAsia"/>
                <w:color w:val="000000"/>
                <w:szCs w:val="21"/>
              </w:rPr>
              <w:t>亿元公司债券</w:t>
            </w:r>
            <w:bookmarkEnd w:id="15"/>
            <w:r w:rsidRPr="00E54C45">
              <w:rPr>
                <w:rFonts w:cs="Times New Roman" w:hint="eastAsia"/>
                <w:color w:val="000000"/>
                <w:szCs w:val="21"/>
              </w:rPr>
              <w:t>。</w:t>
            </w:r>
          </w:p>
        </w:tc>
      </w:tr>
      <w:tr w:rsidR="00E54C45" w:rsidRPr="00E54C45" w14:paraId="1099DB35"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244B19CF"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2020-04-02</w:t>
            </w:r>
          </w:p>
        </w:tc>
        <w:tc>
          <w:tcPr>
            <w:tcW w:w="1599" w:type="dxa"/>
            <w:tcBorders>
              <w:top w:val="single" w:sz="4" w:space="0" w:color="auto"/>
              <w:left w:val="nil"/>
              <w:bottom w:val="single" w:sz="4" w:space="0" w:color="auto"/>
              <w:right w:val="nil"/>
            </w:tcBorders>
            <w:shd w:val="clear" w:color="auto" w:fill="auto"/>
            <w:vAlign w:val="center"/>
            <w:hideMark/>
          </w:tcPr>
          <w:p w14:paraId="7029D17E"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荣</w:t>
            </w:r>
            <w:proofErr w:type="gramStart"/>
            <w:r w:rsidRPr="00E54C45">
              <w:rPr>
                <w:rFonts w:cs="Times New Roman" w:hint="eastAsia"/>
                <w:color w:val="000000"/>
                <w:szCs w:val="21"/>
              </w:rPr>
              <w:t>盛发展</w:t>
            </w:r>
            <w:proofErr w:type="gramEnd"/>
          </w:p>
        </w:tc>
        <w:tc>
          <w:tcPr>
            <w:tcW w:w="7202" w:type="dxa"/>
            <w:tcBorders>
              <w:top w:val="single" w:sz="4" w:space="0" w:color="auto"/>
              <w:left w:val="nil"/>
              <w:bottom w:val="single" w:sz="4" w:space="0" w:color="auto"/>
              <w:right w:val="nil"/>
            </w:tcBorders>
            <w:shd w:val="clear" w:color="auto" w:fill="auto"/>
            <w:vAlign w:val="center"/>
            <w:hideMark/>
          </w:tcPr>
          <w:p w14:paraId="0F56D0ED"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color w:val="000000"/>
                <w:szCs w:val="21"/>
              </w:rPr>
              <w:t>2020</w:t>
            </w:r>
            <w:r w:rsidRPr="00E54C45">
              <w:rPr>
                <w:rFonts w:cs="Times New Roman" w:hint="eastAsia"/>
                <w:color w:val="000000"/>
                <w:szCs w:val="21"/>
              </w:rPr>
              <w:t>年</w:t>
            </w:r>
            <w:r w:rsidRPr="00E54C45">
              <w:rPr>
                <w:rFonts w:cs="Times New Roman"/>
                <w:color w:val="000000"/>
                <w:szCs w:val="21"/>
              </w:rPr>
              <w:t>3</w:t>
            </w:r>
            <w:r w:rsidRPr="00E54C45">
              <w:rPr>
                <w:rFonts w:cs="Times New Roman" w:hint="eastAsia"/>
                <w:color w:val="000000"/>
                <w:szCs w:val="21"/>
              </w:rPr>
              <w:t>月，公司于青岛、廊坊、重庆、滁州、芜湖、石家庄获得房地产项目共</w:t>
            </w:r>
            <w:r w:rsidRPr="00E54C45">
              <w:rPr>
                <w:rFonts w:cs="Times New Roman"/>
                <w:color w:val="000000"/>
                <w:szCs w:val="21"/>
              </w:rPr>
              <w:t>8</w:t>
            </w:r>
            <w:r w:rsidRPr="00E54C45">
              <w:rPr>
                <w:rFonts w:cs="Times New Roman" w:hint="eastAsia"/>
                <w:color w:val="000000"/>
                <w:szCs w:val="21"/>
              </w:rPr>
              <w:t>个。</w:t>
            </w:r>
          </w:p>
        </w:tc>
      </w:tr>
      <w:tr w:rsidR="00E54C45" w:rsidRPr="00E54C45" w14:paraId="59ABAD41"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797B4230"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2020-04-03</w:t>
            </w:r>
          </w:p>
        </w:tc>
        <w:tc>
          <w:tcPr>
            <w:tcW w:w="1599" w:type="dxa"/>
            <w:tcBorders>
              <w:top w:val="single" w:sz="4" w:space="0" w:color="auto"/>
              <w:left w:val="nil"/>
              <w:bottom w:val="single" w:sz="4" w:space="0" w:color="auto"/>
              <w:right w:val="nil"/>
            </w:tcBorders>
            <w:shd w:val="clear" w:color="auto" w:fill="auto"/>
            <w:vAlign w:val="center"/>
            <w:hideMark/>
          </w:tcPr>
          <w:p w14:paraId="08A725A6"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首开股份</w:t>
            </w:r>
          </w:p>
        </w:tc>
        <w:tc>
          <w:tcPr>
            <w:tcW w:w="7202" w:type="dxa"/>
            <w:tcBorders>
              <w:top w:val="single" w:sz="4" w:space="0" w:color="auto"/>
              <w:left w:val="nil"/>
              <w:bottom w:val="single" w:sz="4" w:space="0" w:color="auto"/>
              <w:right w:val="nil"/>
            </w:tcBorders>
            <w:shd w:val="clear" w:color="auto" w:fill="auto"/>
            <w:vAlign w:val="center"/>
            <w:hideMark/>
          </w:tcPr>
          <w:p w14:paraId="0F5C0EAD"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拟发行规模不超过</w:t>
            </w:r>
            <w:r w:rsidRPr="00E54C45">
              <w:rPr>
                <w:rFonts w:cs="Times New Roman"/>
                <w:color w:val="000000"/>
                <w:szCs w:val="21"/>
              </w:rPr>
              <w:t>10</w:t>
            </w:r>
            <w:r w:rsidRPr="00E54C45">
              <w:rPr>
                <w:rFonts w:cs="Times New Roman" w:hint="eastAsia"/>
                <w:color w:val="000000"/>
                <w:szCs w:val="21"/>
              </w:rPr>
              <w:t>亿元、期限不超过</w:t>
            </w:r>
            <w:r w:rsidRPr="00E54C45">
              <w:rPr>
                <w:rFonts w:cs="Times New Roman"/>
                <w:color w:val="000000"/>
                <w:szCs w:val="21"/>
              </w:rPr>
              <w:t>18</w:t>
            </w:r>
            <w:r w:rsidRPr="00E54C45">
              <w:rPr>
                <w:rFonts w:cs="Times New Roman" w:hint="eastAsia"/>
                <w:color w:val="000000"/>
                <w:szCs w:val="21"/>
              </w:rPr>
              <w:t>个月的债权融资计划。</w:t>
            </w:r>
          </w:p>
        </w:tc>
      </w:tr>
      <w:tr w:rsidR="00E54C45" w:rsidRPr="00E54C45" w14:paraId="05B9C1D1"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2A228F79"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2020-04-03</w:t>
            </w:r>
          </w:p>
        </w:tc>
        <w:tc>
          <w:tcPr>
            <w:tcW w:w="1599" w:type="dxa"/>
            <w:tcBorders>
              <w:top w:val="single" w:sz="4" w:space="0" w:color="auto"/>
              <w:left w:val="nil"/>
              <w:bottom w:val="single" w:sz="4" w:space="0" w:color="auto"/>
              <w:right w:val="nil"/>
            </w:tcBorders>
            <w:shd w:val="clear" w:color="auto" w:fill="auto"/>
            <w:vAlign w:val="center"/>
            <w:hideMark/>
          </w:tcPr>
          <w:p w14:paraId="0AE6EE46"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金地集团</w:t>
            </w:r>
          </w:p>
        </w:tc>
        <w:tc>
          <w:tcPr>
            <w:tcW w:w="7202" w:type="dxa"/>
            <w:tcBorders>
              <w:top w:val="single" w:sz="4" w:space="0" w:color="auto"/>
              <w:left w:val="nil"/>
              <w:bottom w:val="single" w:sz="4" w:space="0" w:color="auto"/>
              <w:right w:val="nil"/>
            </w:tcBorders>
            <w:shd w:val="clear" w:color="auto" w:fill="auto"/>
            <w:vAlign w:val="center"/>
            <w:hideMark/>
          </w:tcPr>
          <w:p w14:paraId="584FBAAF"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发行</w:t>
            </w:r>
            <w:r w:rsidRPr="00E54C45">
              <w:rPr>
                <w:rFonts w:cs="Times New Roman"/>
                <w:color w:val="000000"/>
                <w:szCs w:val="21"/>
              </w:rPr>
              <w:t>3</w:t>
            </w:r>
            <w:r w:rsidRPr="00E54C45">
              <w:rPr>
                <w:rFonts w:cs="Times New Roman" w:hint="eastAsia"/>
                <w:color w:val="000000"/>
                <w:szCs w:val="21"/>
              </w:rPr>
              <w:t>年期</w:t>
            </w:r>
            <w:r w:rsidRPr="00E54C45">
              <w:rPr>
                <w:rFonts w:cs="Times New Roman"/>
                <w:color w:val="000000"/>
                <w:szCs w:val="21"/>
              </w:rPr>
              <w:t>15</w:t>
            </w:r>
            <w:r w:rsidRPr="00E54C45">
              <w:rPr>
                <w:rFonts w:cs="Times New Roman" w:hint="eastAsia"/>
                <w:color w:val="000000"/>
                <w:szCs w:val="21"/>
              </w:rPr>
              <w:t>亿元</w:t>
            </w:r>
            <w:r w:rsidRPr="00E54C45">
              <w:rPr>
                <w:rFonts w:cs="Times New Roman"/>
                <w:color w:val="000000"/>
                <w:szCs w:val="21"/>
              </w:rPr>
              <w:t>3.05%</w:t>
            </w:r>
            <w:r w:rsidRPr="00E54C45">
              <w:rPr>
                <w:rFonts w:cs="Times New Roman" w:hint="eastAsia"/>
                <w:color w:val="000000"/>
                <w:szCs w:val="21"/>
              </w:rPr>
              <w:t>和</w:t>
            </w:r>
            <w:r w:rsidRPr="00E54C45">
              <w:rPr>
                <w:rFonts w:cs="Times New Roman"/>
                <w:color w:val="000000"/>
                <w:szCs w:val="21"/>
              </w:rPr>
              <w:t>5</w:t>
            </w:r>
            <w:r w:rsidRPr="00E54C45">
              <w:rPr>
                <w:rFonts w:cs="Times New Roman" w:hint="eastAsia"/>
                <w:color w:val="000000"/>
                <w:szCs w:val="21"/>
              </w:rPr>
              <w:t>年期</w:t>
            </w:r>
            <w:r w:rsidRPr="00E54C45">
              <w:rPr>
                <w:rFonts w:cs="Times New Roman"/>
                <w:color w:val="000000"/>
                <w:szCs w:val="21"/>
              </w:rPr>
              <w:t>5</w:t>
            </w:r>
            <w:r w:rsidRPr="00E54C45">
              <w:rPr>
                <w:rFonts w:cs="Times New Roman" w:hint="eastAsia"/>
                <w:color w:val="000000"/>
                <w:szCs w:val="21"/>
              </w:rPr>
              <w:t>亿元</w:t>
            </w:r>
            <w:r w:rsidRPr="00E54C45">
              <w:rPr>
                <w:rFonts w:cs="Times New Roman"/>
                <w:color w:val="000000"/>
                <w:szCs w:val="21"/>
              </w:rPr>
              <w:t>3.55%</w:t>
            </w:r>
            <w:r w:rsidRPr="00E54C45">
              <w:rPr>
                <w:rFonts w:cs="Times New Roman" w:hint="eastAsia"/>
                <w:color w:val="000000"/>
                <w:szCs w:val="21"/>
              </w:rPr>
              <w:t>中期票据。</w:t>
            </w:r>
          </w:p>
        </w:tc>
      </w:tr>
      <w:tr w:rsidR="00E54C45" w:rsidRPr="00E54C45" w14:paraId="20D0D917"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424D142A"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2020-04-03</w:t>
            </w:r>
          </w:p>
        </w:tc>
        <w:tc>
          <w:tcPr>
            <w:tcW w:w="1599" w:type="dxa"/>
            <w:tcBorders>
              <w:top w:val="single" w:sz="4" w:space="0" w:color="auto"/>
              <w:left w:val="nil"/>
              <w:bottom w:val="single" w:sz="4" w:space="0" w:color="auto"/>
              <w:right w:val="nil"/>
            </w:tcBorders>
            <w:shd w:val="clear" w:color="auto" w:fill="auto"/>
            <w:vAlign w:val="center"/>
            <w:hideMark/>
          </w:tcPr>
          <w:p w14:paraId="220B73AA"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蓝光发展</w:t>
            </w:r>
          </w:p>
        </w:tc>
        <w:tc>
          <w:tcPr>
            <w:tcW w:w="7202" w:type="dxa"/>
            <w:tcBorders>
              <w:top w:val="single" w:sz="4" w:space="0" w:color="auto"/>
              <w:left w:val="nil"/>
              <w:bottom w:val="single" w:sz="4" w:space="0" w:color="auto"/>
              <w:right w:val="nil"/>
            </w:tcBorders>
            <w:shd w:val="clear" w:color="auto" w:fill="auto"/>
            <w:vAlign w:val="center"/>
            <w:hideMark/>
          </w:tcPr>
          <w:p w14:paraId="2C610385"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color w:val="000000"/>
                <w:szCs w:val="21"/>
              </w:rPr>
              <w:t>10.65</w:t>
            </w:r>
            <w:r w:rsidRPr="00E54C45">
              <w:rPr>
                <w:rFonts w:cs="Times New Roman" w:hint="eastAsia"/>
                <w:color w:val="000000"/>
                <w:szCs w:val="21"/>
              </w:rPr>
              <w:t>亿办公物业类</w:t>
            </w:r>
            <w:r w:rsidRPr="00E54C45">
              <w:rPr>
                <w:rFonts w:cs="Times New Roman"/>
                <w:color w:val="000000"/>
                <w:szCs w:val="21"/>
              </w:rPr>
              <w:t>REITs</w:t>
            </w:r>
            <w:r w:rsidRPr="00E54C45">
              <w:rPr>
                <w:rFonts w:cs="Times New Roman" w:hint="eastAsia"/>
                <w:color w:val="000000"/>
                <w:szCs w:val="21"/>
              </w:rPr>
              <w:t>资产支持专项计划获上交所无异议函。</w:t>
            </w:r>
          </w:p>
        </w:tc>
      </w:tr>
      <w:tr w:rsidR="00E54C45" w:rsidRPr="00E54C45" w14:paraId="14BF7178" w14:textId="77777777" w:rsidTr="00E54C45">
        <w:trPr>
          <w:trHeight w:val="20"/>
        </w:trPr>
        <w:tc>
          <w:tcPr>
            <w:tcW w:w="1405" w:type="dxa"/>
            <w:tcBorders>
              <w:top w:val="single" w:sz="4" w:space="0" w:color="auto"/>
              <w:left w:val="nil"/>
              <w:bottom w:val="single" w:sz="4" w:space="0" w:color="auto"/>
              <w:right w:val="nil"/>
            </w:tcBorders>
            <w:shd w:val="clear" w:color="auto" w:fill="auto"/>
            <w:vAlign w:val="center"/>
            <w:hideMark/>
          </w:tcPr>
          <w:p w14:paraId="0724FDAF" w14:textId="77777777" w:rsidR="00E54C45" w:rsidRPr="00E54C45" w:rsidRDefault="00E54C45" w:rsidP="00E54C45">
            <w:pPr>
              <w:spacing w:after="0" w:line="240" w:lineRule="auto"/>
              <w:ind w:right="0"/>
              <w:jc w:val="center"/>
              <w:rPr>
                <w:rFonts w:cs="Times New Roman"/>
                <w:color w:val="000000"/>
                <w:szCs w:val="21"/>
              </w:rPr>
            </w:pPr>
            <w:r w:rsidRPr="00E54C45">
              <w:rPr>
                <w:rFonts w:cs="Times New Roman"/>
                <w:color w:val="000000"/>
                <w:szCs w:val="21"/>
              </w:rPr>
              <w:t>2020-04-03</w:t>
            </w:r>
          </w:p>
        </w:tc>
        <w:tc>
          <w:tcPr>
            <w:tcW w:w="1599" w:type="dxa"/>
            <w:tcBorders>
              <w:top w:val="single" w:sz="4" w:space="0" w:color="auto"/>
              <w:left w:val="nil"/>
              <w:bottom w:val="single" w:sz="4" w:space="0" w:color="auto"/>
              <w:right w:val="nil"/>
            </w:tcBorders>
            <w:shd w:val="clear" w:color="auto" w:fill="auto"/>
            <w:vAlign w:val="center"/>
            <w:hideMark/>
          </w:tcPr>
          <w:p w14:paraId="3124CA23"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hint="eastAsia"/>
                <w:color w:val="000000"/>
                <w:szCs w:val="21"/>
              </w:rPr>
              <w:t>华夏幸福</w:t>
            </w:r>
          </w:p>
        </w:tc>
        <w:tc>
          <w:tcPr>
            <w:tcW w:w="7202" w:type="dxa"/>
            <w:tcBorders>
              <w:top w:val="single" w:sz="4" w:space="0" w:color="auto"/>
              <w:left w:val="nil"/>
              <w:bottom w:val="single" w:sz="4" w:space="0" w:color="auto"/>
              <w:right w:val="nil"/>
            </w:tcBorders>
            <w:shd w:val="clear" w:color="auto" w:fill="auto"/>
            <w:vAlign w:val="center"/>
            <w:hideMark/>
          </w:tcPr>
          <w:p w14:paraId="6B6B76F4" w14:textId="77777777" w:rsidR="00E54C45" w:rsidRPr="00E54C45" w:rsidRDefault="00E54C45" w:rsidP="00E54C45">
            <w:pPr>
              <w:spacing w:after="0" w:line="240" w:lineRule="auto"/>
              <w:ind w:right="0"/>
              <w:jc w:val="left"/>
              <w:rPr>
                <w:rFonts w:cs="Times New Roman"/>
                <w:color w:val="000000"/>
                <w:szCs w:val="21"/>
              </w:rPr>
            </w:pPr>
            <w:r w:rsidRPr="00E54C45">
              <w:rPr>
                <w:rFonts w:cs="Times New Roman"/>
                <w:color w:val="000000"/>
                <w:szCs w:val="21"/>
              </w:rPr>
              <w:t>2020</w:t>
            </w:r>
            <w:r w:rsidRPr="00E54C45">
              <w:rPr>
                <w:rFonts w:cs="Times New Roman" w:hint="eastAsia"/>
                <w:color w:val="000000"/>
                <w:szCs w:val="21"/>
              </w:rPr>
              <w:t>年</w:t>
            </w:r>
            <w:r w:rsidRPr="00E54C45">
              <w:rPr>
                <w:rFonts w:cs="Times New Roman"/>
                <w:color w:val="000000"/>
                <w:szCs w:val="21"/>
              </w:rPr>
              <w:t>3</w:t>
            </w:r>
            <w:r w:rsidRPr="00E54C45">
              <w:rPr>
                <w:rFonts w:cs="Times New Roman" w:hint="eastAsia"/>
                <w:color w:val="000000"/>
                <w:szCs w:val="21"/>
              </w:rPr>
              <w:t>月，公司下属公司在河北廊坊、安徽六安获得</w:t>
            </w:r>
            <w:r w:rsidRPr="00E54C45">
              <w:rPr>
                <w:rFonts w:cs="Times New Roman"/>
                <w:color w:val="000000"/>
                <w:szCs w:val="21"/>
              </w:rPr>
              <w:t>3</w:t>
            </w:r>
            <w:r w:rsidRPr="00E54C45">
              <w:rPr>
                <w:rFonts w:cs="Times New Roman" w:hint="eastAsia"/>
                <w:color w:val="000000"/>
                <w:szCs w:val="21"/>
              </w:rPr>
              <w:t>宗土地使用权，合计面积约</w:t>
            </w:r>
            <w:r w:rsidRPr="00E54C45">
              <w:rPr>
                <w:rFonts w:cs="Times New Roman"/>
                <w:color w:val="000000"/>
                <w:szCs w:val="21"/>
              </w:rPr>
              <w:t>16.5</w:t>
            </w:r>
            <w:r w:rsidRPr="00E54C45">
              <w:rPr>
                <w:rFonts w:cs="Times New Roman" w:hint="eastAsia"/>
                <w:color w:val="000000"/>
                <w:szCs w:val="21"/>
              </w:rPr>
              <w:t>万平方米，合计成交金额约</w:t>
            </w:r>
            <w:r w:rsidRPr="00E54C45">
              <w:rPr>
                <w:rFonts w:cs="Times New Roman"/>
                <w:color w:val="000000"/>
                <w:szCs w:val="21"/>
              </w:rPr>
              <w:t>15.2</w:t>
            </w:r>
            <w:r w:rsidRPr="00E54C45">
              <w:rPr>
                <w:rFonts w:cs="Times New Roman" w:hint="eastAsia"/>
                <w:color w:val="000000"/>
                <w:szCs w:val="21"/>
              </w:rPr>
              <w:t>亿元。</w:t>
            </w:r>
          </w:p>
        </w:tc>
      </w:tr>
    </w:tbl>
    <w:p w14:paraId="6B06FC3B" w14:textId="48651E96" w:rsidR="00EF5C8A" w:rsidRDefault="00A507E1" w:rsidP="00EF5C8A">
      <w:pPr>
        <w:rPr>
          <w:rFonts w:ascii="KaiTi" w:eastAsia="KaiTi" w:hAnsi="KaiTi" w:cs="Times New Roman"/>
          <w:color w:val="000000"/>
          <w:sz w:val="18"/>
          <w:szCs w:val="18"/>
        </w:rPr>
      </w:pPr>
      <w:r>
        <w:rPr>
          <w:rFonts w:ascii="KaiTi" w:eastAsia="KaiTi" w:hAnsi="KaiTi" w:cs="Times New Roman" w:hint="eastAsia"/>
          <w:color w:val="000000"/>
          <w:sz w:val="18"/>
          <w:szCs w:val="18"/>
        </w:rPr>
        <w:t>数据来源</w:t>
      </w:r>
      <w:r w:rsidR="00EF5C8A" w:rsidRPr="00EF5C8A">
        <w:rPr>
          <w:rFonts w:ascii="KaiTi" w:eastAsia="KaiTi" w:hAnsi="KaiTi" w:cs="Times New Roman" w:hint="eastAsia"/>
          <w:color w:val="000000"/>
          <w:sz w:val="18"/>
          <w:szCs w:val="18"/>
        </w:rPr>
        <w:t>：</w:t>
      </w:r>
      <w:r w:rsidR="00EF5C8A" w:rsidRPr="00EF5C8A">
        <w:rPr>
          <w:rFonts w:cs="Times New Roman"/>
          <w:color w:val="000000"/>
          <w:sz w:val="18"/>
          <w:szCs w:val="18"/>
        </w:rPr>
        <w:t>Wind</w:t>
      </w:r>
      <w:r w:rsidR="00EF5C8A" w:rsidRPr="00EF5C8A">
        <w:rPr>
          <w:rFonts w:ascii="KaiTi" w:eastAsia="KaiTi" w:hAnsi="KaiTi" w:cs="Times New Roman" w:hint="eastAsia"/>
          <w:color w:val="000000"/>
          <w:sz w:val="18"/>
          <w:szCs w:val="18"/>
        </w:rPr>
        <w:t>，公司公告，中</w:t>
      </w:r>
      <w:proofErr w:type="gramStart"/>
      <w:r w:rsidR="00EF5C8A" w:rsidRPr="00EF5C8A">
        <w:rPr>
          <w:rFonts w:ascii="KaiTi" w:eastAsia="KaiTi" w:hAnsi="KaiTi" w:cs="Times New Roman" w:hint="eastAsia"/>
          <w:color w:val="000000"/>
          <w:sz w:val="18"/>
          <w:szCs w:val="18"/>
        </w:rPr>
        <w:t>达证券</w:t>
      </w:r>
      <w:proofErr w:type="gramEnd"/>
      <w:r w:rsidR="00EF5C8A" w:rsidRPr="00EF5C8A">
        <w:rPr>
          <w:rFonts w:ascii="KaiTi" w:eastAsia="KaiTi" w:hAnsi="KaiTi" w:cs="Times New Roman" w:hint="eastAsia"/>
          <w:color w:val="000000"/>
          <w:sz w:val="18"/>
          <w:szCs w:val="18"/>
        </w:rPr>
        <w:t>研究</w:t>
      </w:r>
    </w:p>
    <w:p w14:paraId="6A534B1D" w14:textId="18758396" w:rsidR="004E32DD" w:rsidRDefault="004E32DD" w:rsidP="00EF5C8A">
      <w:pPr>
        <w:rPr>
          <w:rFonts w:ascii="KaiTi" w:eastAsia="KaiTi" w:hAnsi="KaiTi" w:cs="Times New Roman"/>
          <w:color w:val="000000"/>
          <w:sz w:val="18"/>
          <w:szCs w:val="18"/>
        </w:rPr>
      </w:pPr>
    </w:p>
    <w:p w14:paraId="6234F4AE" w14:textId="77777777" w:rsidR="004E32DD" w:rsidRPr="000813A3" w:rsidRDefault="004E32DD" w:rsidP="004E32DD">
      <w:pPr>
        <w:rPr>
          <w:b/>
        </w:rPr>
      </w:pPr>
      <w:r w:rsidRPr="000813A3">
        <w:rPr>
          <w:rFonts w:hint="eastAsia"/>
          <w:b/>
        </w:rPr>
        <w:lastRenderedPageBreak/>
        <w:t>风险提示：</w:t>
      </w:r>
    </w:p>
    <w:p w14:paraId="249B93C0" w14:textId="77777777" w:rsidR="004E32DD" w:rsidRDefault="004E32DD" w:rsidP="004E32DD">
      <w:pPr>
        <w:ind w:right="0"/>
        <w:jc w:val="left"/>
      </w:pPr>
      <w:r w:rsidRPr="003304A3">
        <w:rPr>
          <w:rFonts w:hint="eastAsia"/>
        </w:rPr>
        <w:t>1.</w:t>
      </w:r>
      <w:r w:rsidRPr="003304A3">
        <w:rPr>
          <w:rFonts w:hint="eastAsia"/>
        </w:rPr>
        <w:t>行业调控及融资政策或存在一定不确定性，影响上市公司销售业绩；</w:t>
      </w:r>
    </w:p>
    <w:p w14:paraId="7F7FECBC" w14:textId="77777777" w:rsidR="004E32DD" w:rsidRDefault="004E32DD" w:rsidP="004E32DD">
      <w:pPr>
        <w:ind w:right="0"/>
        <w:jc w:val="left"/>
      </w:pPr>
      <w:r w:rsidRPr="003304A3">
        <w:rPr>
          <w:rFonts w:hint="eastAsia"/>
        </w:rPr>
        <w:t>2.</w:t>
      </w:r>
      <w:r w:rsidRPr="003304A3">
        <w:rPr>
          <w:rFonts w:hint="eastAsia"/>
        </w:rPr>
        <w:t>宏观经济波动可能对行业内企业经营造成一定影响</w:t>
      </w:r>
      <w:r>
        <w:rPr>
          <w:rFonts w:hint="eastAsia"/>
        </w:rPr>
        <w:t>；</w:t>
      </w:r>
    </w:p>
    <w:p w14:paraId="69A9ED24" w14:textId="77777777" w:rsidR="004E32DD" w:rsidRDefault="004E32DD" w:rsidP="004E32DD">
      <w:pPr>
        <w:ind w:right="0"/>
        <w:jc w:val="left"/>
      </w:pPr>
      <w:r w:rsidRPr="006E1E6E">
        <w:rPr>
          <w:rFonts w:hint="eastAsia"/>
        </w:rPr>
        <w:t>3.</w:t>
      </w:r>
      <w:r w:rsidRPr="006E1E6E">
        <w:rPr>
          <w:rFonts w:hint="eastAsia"/>
        </w:rPr>
        <w:t>疫情控制具有不确定性。</w:t>
      </w:r>
    </w:p>
    <w:p w14:paraId="6F45C21E" w14:textId="77777777" w:rsidR="004E32DD" w:rsidRPr="004E32DD" w:rsidRDefault="004E32DD" w:rsidP="00EF5C8A">
      <w:pPr>
        <w:rPr>
          <w:rFonts w:cs="Times New Roman" w:hint="eastAsia"/>
        </w:rPr>
      </w:pPr>
      <w:bookmarkStart w:id="16" w:name="_GoBack"/>
      <w:bookmarkEnd w:id="16"/>
    </w:p>
    <w:p w14:paraId="2682BA11" w14:textId="711001C7" w:rsidR="00597842" w:rsidRPr="001F5B42" w:rsidRDefault="00597842" w:rsidP="00CF2999">
      <w:pPr>
        <w:rPr>
          <w:rFonts w:cs="Times New Roman"/>
        </w:rPr>
      </w:pPr>
      <w:r w:rsidRPr="001F5B42">
        <w:rPr>
          <w:rFonts w:cs="Times New Roman"/>
        </w:rPr>
        <w:br w:type="page"/>
      </w:r>
    </w:p>
    <w:p w14:paraId="49253FD1" w14:textId="77777777" w:rsidR="00E372C5" w:rsidRPr="00243E58" w:rsidRDefault="00E372C5" w:rsidP="00E372C5">
      <w:pPr>
        <w:ind w:right="0"/>
        <w:jc w:val="left"/>
        <w:rPr>
          <w:b/>
          <w:szCs w:val="21"/>
        </w:rPr>
      </w:pPr>
      <w:r w:rsidRPr="00243E58">
        <w:rPr>
          <w:rFonts w:hint="eastAsia"/>
          <w:b/>
          <w:szCs w:val="21"/>
        </w:rPr>
        <w:lastRenderedPageBreak/>
        <w:t>分析师声明</w:t>
      </w:r>
    </w:p>
    <w:p w14:paraId="350E094C"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申思聪，主要负责撰写本研究报告全部或部分内容的分析师，在此声明：</w:t>
      </w:r>
    </w:p>
    <w:p w14:paraId="76877050"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w:t>
      </w:r>
      <w:r w:rsidRPr="00243E58">
        <w:rPr>
          <w:rFonts w:eastAsia="楷体" w:hint="eastAsia"/>
          <w:sz w:val="21"/>
          <w:szCs w:val="21"/>
        </w:rPr>
        <w:t>1</w:t>
      </w:r>
      <w:r w:rsidRPr="00243E58">
        <w:rPr>
          <w:rFonts w:eastAsia="楷体" w:hint="eastAsia"/>
          <w:sz w:val="21"/>
          <w:szCs w:val="21"/>
          <w:lang w:eastAsia="zh-HK"/>
        </w:rPr>
        <w:t>）本研究报告所表述的任何观点均精准地反映了该分析师个人对标的公司及其股票的看法；</w:t>
      </w:r>
    </w:p>
    <w:p w14:paraId="44ECA6BF"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w:t>
      </w:r>
      <w:r w:rsidRPr="00243E58">
        <w:rPr>
          <w:rFonts w:eastAsia="楷体" w:hint="eastAsia"/>
          <w:sz w:val="21"/>
          <w:szCs w:val="21"/>
        </w:rPr>
        <w:t>2</w:t>
      </w:r>
      <w:r w:rsidRPr="00243E58">
        <w:rPr>
          <w:rFonts w:eastAsia="楷体" w:hint="eastAsia"/>
          <w:sz w:val="21"/>
          <w:szCs w:val="21"/>
          <w:lang w:eastAsia="zh-HK"/>
        </w:rPr>
        <w:t>）该分析师所得报酬的任何组成部分无论在过去、现在及将来均不会直接或间接地与研究报告所表述的具体建议或观点或我司投资银行部相联系；</w:t>
      </w:r>
    </w:p>
    <w:p w14:paraId="45C5C6A0"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w:t>
      </w:r>
      <w:r w:rsidRPr="00243E58">
        <w:rPr>
          <w:rFonts w:eastAsia="楷体" w:hint="eastAsia"/>
          <w:sz w:val="21"/>
          <w:szCs w:val="21"/>
        </w:rPr>
        <w:t>3</w:t>
      </w:r>
      <w:r w:rsidRPr="00243E58">
        <w:rPr>
          <w:rFonts w:eastAsia="楷体" w:hint="eastAsia"/>
          <w:sz w:val="21"/>
          <w:szCs w:val="21"/>
          <w:lang w:eastAsia="zh-HK"/>
        </w:rPr>
        <w:t>）该分析师未直接或间接地受我司投资银行部授意或向我司投资银行部报告；</w:t>
      </w:r>
    </w:p>
    <w:p w14:paraId="4F61CEC7" w14:textId="77777777" w:rsidR="00E372C5" w:rsidRPr="00243E58" w:rsidRDefault="00E372C5" w:rsidP="00E372C5">
      <w:pPr>
        <w:pStyle w:val="Default"/>
        <w:spacing w:line="276" w:lineRule="auto"/>
        <w:jc w:val="both"/>
        <w:rPr>
          <w:rFonts w:eastAsia="楷体"/>
          <w:sz w:val="21"/>
          <w:szCs w:val="21"/>
        </w:rPr>
      </w:pPr>
      <w:r w:rsidRPr="00243E58">
        <w:rPr>
          <w:rFonts w:eastAsia="楷体" w:hint="eastAsia"/>
          <w:sz w:val="21"/>
          <w:szCs w:val="21"/>
          <w:lang w:eastAsia="zh-HK"/>
        </w:rPr>
        <w:t>（</w:t>
      </w:r>
      <w:r w:rsidRPr="00243E58">
        <w:rPr>
          <w:rFonts w:eastAsia="楷体" w:hint="eastAsia"/>
          <w:sz w:val="21"/>
          <w:szCs w:val="21"/>
        </w:rPr>
        <w:t>4</w:t>
      </w:r>
      <w:r w:rsidRPr="00243E58">
        <w:rPr>
          <w:rFonts w:eastAsia="楷体" w:hint="eastAsia"/>
          <w:sz w:val="21"/>
          <w:szCs w:val="21"/>
          <w:lang w:eastAsia="zh-HK"/>
        </w:rPr>
        <w:t>）标的公司不处于证监会</w:t>
      </w:r>
      <w:r w:rsidRPr="00243E58">
        <w:rPr>
          <w:rFonts w:eastAsia="楷体" w:hint="eastAsia"/>
          <w:sz w:val="21"/>
          <w:szCs w:val="21"/>
        </w:rPr>
        <w:t>操守准则</w:t>
      </w:r>
      <w:r w:rsidRPr="00243E58">
        <w:rPr>
          <w:rFonts w:eastAsia="楷体" w:hint="eastAsia"/>
          <w:sz w:val="21"/>
          <w:szCs w:val="21"/>
        </w:rPr>
        <w:t>16.5</w:t>
      </w:r>
      <w:r w:rsidRPr="00243E58">
        <w:rPr>
          <w:rFonts w:eastAsia="楷体"/>
          <w:sz w:val="21"/>
          <w:szCs w:val="21"/>
        </w:rPr>
        <w:t>(g)</w:t>
      </w:r>
      <w:r w:rsidRPr="00243E58">
        <w:rPr>
          <w:rFonts w:eastAsia="楷体" w:hint="eastAsia"/>
          <w:sz w:val="21"/>
          <w:szCs w:val="21"/>
        </w:rPr>
        <w:t>定义的安静期内；</w:t>
      </w:r>
    </w:p>
    <w:p w14:paraId="76467C49" w14:textId="77777777" w:rsidR="00E372C5" w:rsidRPr="00243E58" w:rsidRDefault="00E372C5" w:rsidP="00E372C5">
      <w:pPr>
        <w:pStyle w:val="Default"/>
        <w:spacing w:line="276" w:lineRule="auto"/>
        <w:jc w:val="both"/>
        <w:rPr>
          <w:rFonts w:eastAsia="楷体"/>
          <w:sz w:val="21"/>
          <w:szCs w:val="21"/>
        </w:rPr>
      </w:pPr>
      <w:r w:rsidRPr="00243E58">
        <w:rPr>
          <w:rFonts w:eastAsia="楷体" w:hint="eastAsia"/>
          <w:sz w:val="21"/>
          <w:szCs w:val="21"/>
        </w:rPr>
        <w:t>（</w:t>
      </w:r>
      <w:r w:rsidRPr="00243E58">
        <w:rPr>
          <w:rFonts w:eastAsia="楷体" w:hint="eastAsia"/>
          <w:sz w:val="21"/>
          <w:szCs w:val="21"/>
        </w:rPr>
        <w:t>5</w:t>
      </w:r>
      <w:r w:rsidRPr="00243E58">
        <w:rPr>
          <w:rFonts w:eastAsia="楷体" w:hint="eastAsia"/>
          <w:sz w:val="21"/>
          <w:szCs w:val="21"/>
        </w:rPr>
        <w:t>）该分析师未于本研究报告涉及的上市公司任高级职员；</w:t>
      </w:r>
    </w:p>
    <w:p w14:paraId="091AEE1D"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w:t>
      </w:r>
      <w:r w:rsidRPr="00243E58">
        <w:rPr>
          <w:rFonts w:eastAsia="楷体" w:hint="eastAsia"/>
          <w:sz w:val="21"/>
          <w:szCs w:val="21"/>
        </w:rPr>
        <w:t>6</w:t>
      </w:r>
      <w:r w:rsidRPr="00243E58">
        <w:rPr>
          <w:rFonts w:eastAsia="楷体" w:hint="eastAsia"/>
          <w:sz w:val="21"/>
          <w:szCs w:val="21"/>
          <w:lang w:eastAsia="zh-HK"/>
        </w:rPr>
        <w:t>）该分析师及</w:t>
      </w:r>
      <w:r w:rsidRPr="00243E58">
        <w:rPr>
          <w:rFonts w:eastAsia="楷体" w:hint="eastAsia"/>
          <w:sz w:val="21"/>
          <w:szCs w:val="21"/>
        </w:rPr>
        <w:t>/</w:t>
      </w:r>
      <w:r w:rsidRPr="00243E58">
        <w:rPr>
          <w:rFonts w:eastAsia="楷体" w:hint="eastAsia"/>
          <w:sz w:val="21"/>
          <w:szCs w:val="21"/>
          <w:lang w:eastAsia="zh-HK"/>
        </w:rPr>
        <w:t>或其助理与本研究报告涉及的上市公司无利益关系。</w:t>
      </w:r>
    </w:p>
    <w:p w14:paraId="692D9018" w14:textId="77777777" w:rsidR="00E372C5" w:rsidRPr="00243E58" w:rsidRDefault="00E372C5" w:rsidP="00E372C5">
      <w:pPr>
        <w:pStyle w:val="Default"/>
        <w:spacing w:line="276" w:lineRule="auto"/>
        <w:jc w:val="both"/>
        <w:rPr>
          <w:rFonts w:eastAsia="楷体"/>
          <w:sz w:val="21"/>
          <w:szCs w:val="21"/>
          <w:lang w:eastAsia="zh-HK"/>
        </w:rPr>
      </w:pPr>
    </w:p>
    <w:p w14:paraId="13FDE674" w14:textId="77777777" w:rsidR="00E372C5" w:rsidRPr="00243E58" w:rsidRDefault="00E372C5" w:rsidP="00E372C5">
      <w:pPr>
        <w:pStyle w:val="Default"/>
        <w:spacing w:line="276" w:lineRule="auto"/>
        <w:jc w:val="both"/>
        <w:rPr>
          <w:rFonts w:eastAsia="楷体"/>
          <w:b/>
          <w:bCs/>
          <w:sz w:val="21"/>
          <w:szCs w:val="21"/>
          <w:lang w:eastAsia="zh-HK"/>
        </w:rPr>
      </w:pPr>
      <w:r w:rsidRPr="00243E58">
        <w:rPr>
          <w:rFonts w:eastAsia="楷体" w:hint="eastAsia"/>
          <w:b/>
          <w:bCs/>
          <w:sz w:val="21"/>
          <w:szCs w:val="21"/>
          <w:lang w:eastAsia="zh-HK"/>
        </w:rPr>
        <w:t>评级说明</w:t>
      </w:r>
    </w:p>
    <w:p w14:paraId="0E7E9BAD" w14:textId="77777777" w:rsidR="00E372C5" w:rsidRPr="00243E58" w:rsidRDefault="00E372C5" w:rsidP="00E372C5">
      <w:pPr>
        <w:pStyle w:val="Default"/>
        <w:spacing w:line="276" w:lineRule="auto"/>
        <w:jc w:val="both"/>
        <w:rPr>
          <w:rFonts w:eastAsia="楷体"/>
          <w:sz w:val="21"/>
          <w:szCs w:val="21"/>
        </w:rPr>
      </w:pPr>
      <w:r w:rsidRPr="00243E58">
        <w:rPr>
          <w:rFonts w:eastAsia="楷体" w:hint="eastAsia"/>
          <w:sz w:val="21"/>
          <w:szCs w:val="21"/>
        </w:rPr>
        <w:t>报告中涉及的评级以报告发布后</w:t>
      </w:r>
      <w:r w:rsidRPr="00243E58">
        <w:rPr>
          <w:rFonts w:eastAsia="楷体" w:hint="eastAsia"/>
          <w:sz w:val="21"/>
          <w:szCs w:val="21"/>
        </w:rPr>
        <w:t>12</w:t>
      </w:r>
      <w:r w:rsidRPr="00243E58">
        <w:rPr>
          <w:rFonts w:eastAsia="楷体" w:hint="eastAsia"/>
          <w:sz w:val="21"/>
          <w:szCs w:val="21"/>
        </w:rPr>
        <w:t>个月内市场表现为比较标准，</w:t>
      </w:r>
      <w:r w:rsidRPr="00243E58">
        <w:rPr>
          <w:rFonts w:eastAsia="楷体" w:hint="eastAsia"/>
          <w:sz w:val="21"/>
          <w:szCs w:val="21"/>
        </w:rPr>
        <w:t>A</w:t>
      </w:r>
      <w:r w:rsidRPr="00243E58">
        <w:rPr>
          <w:rFonts w:eastAsia="楷体" w:hint="eastAsia"/>
          <w:sz w:val="21"/>
          <w:szCs w:val="21"/>
        </w:rPr>
        <w:t>股市场以沪深</w:t>
      </w:r>
      <w:r w:rsidRPr="00243E58">
        <w:rPr>
          <w:rFonts w:eastAsia="楷体" w:hint="eastAsia"/>
          <w:sz w:val="21"/>
          <w:szCs w:val="21"/>
        </w:rPr>
        <w:t>300</w:t>
      </w:r>
      <w:r w:rsidRPr="00243E58">
        <w:rPr>
          <w:rFonts w:eastAsia="楷体" w:hint="eastAsia"/>
          <w:sz w:val="21"/>
          <w:szCs w:val="21"/>
        </w:rPr>
        <w:t>指数为基准，港股市场以恒生指数为基准。</w:t>
      </w:r>
    </w:p>
    <w:p w14:paraId="2A2703C8"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rPr>
        <w:t>1</w:t>
      </w:r>
      <w:r w:rsidRPr="00243E58">
        <w:rPr>
          <w:rFonts w:eastAsia="楷体" w:hint="eastAsia"/>
          <w:sz w:val="21"/>
          <w:szCs w:val="21"/>
          <w:lang w:eastAsia="zh-HK"/>
        </w:rPr>
        <w:t>）股票评级：</w:t>
      </w:r>
    </w:p>
    <w:p w14:paraId="35C8D185"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买入</w:t>
      </w:r>
      <w:r w:rsidRPr="00243E58">
        <w:rPr>
          <w:rFonts w:eastAsia="楷体" w:hint="eastAsia"/>
          <w:sz w:val="21"/>
          <w:szCs w:val="21"/>
        </w:rPr>
        <w:t>——相对同期相关证券市场代表性指数涨幅</w:t>
      </w:r>
      <w:r w:rsidRPr="00243E58">
        <w:rPr>
          <w:rFonts w:eastAsia="楷体" w:hint="eastAsia"/>
          <w:sz w:val="21"/>
          <w:szCs w:val="21"/>
        </w:rPr>
        <w:t>20%</w:t>
      </w:r>
      <w:r w:rsidRPr="00243E58">
        <w:rPr>
          <w:rFonts w:eastAsia="楷体" w:hint="eastAsia"/>
          <w:sz w:val="21"/>
          <w:szCs w:val="21"/>
        </w:rPr>
        <w:t>以上；</w:t>
      </w:r>
    </w:p>
    <w:p w14:paraId="741AA831"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增持——相对同期相关证券市场代表性指数涨幅介于</w:t>
      </w:r>
      <w:r w:rsidRPr="00243E58">
        <w:rPr>
          <w:rFonts w:eastAsia="楷体" w:hint="eastAsia"/>
          <w:sz w:val="21"/>
          <w:szCs w:val="21"/>
          <w:lang w:eastAsia="zh-HK"/>
        </w:rPr>
        <w:t>5%</w:t>
      </w:r>
      <w:r w:rsidRPr="00243E58">
        <w:rPr>
          <w:rFonts w:eastAsia="楷体" w:hint="eastAsia"/>
          <w:sz w:val="21"/>
          <w:szCs w:val="21"/>
          <w:lang w:eastAsia="zh-HK"/>
        </w:rPr>
        <w:t>～</w:t>
      </w:r>
      <w:r w:rsidRPr="00243E58">
        <w:rPr>
          <w:rFonts w:eastAsia="楷体" w:hint="eastAsia"/>
          <w:sz w:val="21"/>
          <w:szCs w:val="21"/>
          <w:lang w:eastAsia="zh-HK"/>
        </w:rPr>
        <w:t>20%</w:t>
      </w:r>
      <w:r w:rsidRPr="00243E58">
        <w:rPr>
          <w:rFonts w:eastAsia="楷体" w:hint="eastAsia"/>
          <w:sz w:val="21"/>
          <w:szCs w:val="21"/>
          <w:lang w:eastAsia="zh-HK"/>
        </w:rPr>
        <w:t>之间；</w:t>
      </w:r>
    </w:p>
    <w:p w14:paraId="3DB34794"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持有——相对同期相关证券市场代表性指数涨幅介于</w:t>
      </w:r>
      <w:r w:rsidRPr="00243E58">
        <w:rPr>
          <w:rFonts w:eastAsia="楷体" w:hint="eastAsia"/>
          <w:sz w:val="21"/>
          <w:szCs w:val="21"/>
          <w:lang w:eastAsia="zh-HK"/>
        </w:rPr>
        <w:t>-10%</w:t>
      </w:r>
      <w:r w:rsidRPr="00243E58">
        <w:rPr>
          <w:rFonts w:eastAsia="楷体" w:hint="eastAsia"/>
          <w:sz w:val="21"/>
          <w:szCs w:val="21"/>
          <w:lang w:eastAsia="zh-HK"/>
        </w:rPr>
        <w:t>～</w:t>
      </w:r>
      <w:r w:rsidRPr="00243E58">
        <w:rPr>
          <w:rFonts w:eastAsia="楷体" w:hint="eastAsia"/>
          <w:sz w:val="21"/>
          <w:szCs w:val="21"/>
          <w:lang w:eastAsia="zh-HK"/>
        </w:rPr>
        <w:t>5%</w:t>
      </w:r>
      <w:r w:rsidRPr="00243E58">
        <w:rPr>
          <w:rFonts w:eastAsia="楷体" w:hint="eastAsia"/>
          <w:sz w:val="21"/>
          <w:szCs w:val="21"/>
          <w:lang w:eastAsia="zh-HK"/>
        </w:rPr>
        <w:t>之间；</w:t>
      </w:r>
    </w:p>
    <w:p w14:paraId="21CDC246"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卖出</w:t>
      </w:r>
      <w:r w:rsidRPr="00243E58">
        <w:rPr>
          <w:rFonts w:eastAsia="楷体" w:hint="eastAsia"/>
          <w:sz w:val="21"/>
          <w:szCs w:val="21"/>
        </w:rPr>
        <w:t>——相对同期相关证券市场代表性指数跌幅</w:t>
      </w:r>
      <w:r w:rsidRPr="00243E58">
        <w:rPr>
          <w:rFonts w:eastAsia="楷体" w:hint="eastAsia"/>
          <w:sz w:val="21"/>
          <w:szCs w:val="21"/>
        </w:rPr>
        <w:t>10%</w:t>
      </w:r>
      <w:r w:rsidRPr="00243E58">
        <w:rPr>
          <w:rFonts w:eastAsia="楷体" w:hint="eastAsia"/>
          <w:sz w:val="21"/>
          <w:szCs w:val="21"/>
        </w:rPr>
        <w:t>以上。</w:t>
      </w:r>
    </w:p>
    <w:p w14:paraId="6DA2B22C"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rPr>
        <w:t>2</w:t>
      </w:r>
      <w:r w:rsidRPr="00243E58">
        <w:rPr>
          <w:rFonts w:eastAsia="楷体" w:hint="eastAsia"/>
          <w:sz w:val="21"/>
          <w:szCs w:val="21"/>
          <w:lang w:eastAsia="zh-HK"/>
        </w:rPr>
        <w:t>）行业评级：</w:t>
      </w:r>
    </w:p>
    <w:p w14:paraId="159A2B69"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强于大市——相对同期相关证券市场代表性指数涨幅</w:t>
      </w:r>
      <w:r w:rsidRPr="00243E58">
        <w:rPr>
          <w:rFonts w:eastAsia="楷体" w:hint="eastAsia"/>
          <w:sz w:val="21"/>
          <w:szCs w:val="21"/>
          <w:lang w:eastAsia="zh-HK"/>
        </w:rPr>
        <w:t>10%</w:t>
      </w:r>
      <w:r w:rsidRPr="00243E58">
        <w:rPr>
          <w:rFonts w:eastAsia="楷体" w:hint="eastAsia"/>
          <w:sz w:val="21"/>
          <w:szCs w:val="21"/>
          <w:lang w:eastAsia="zh-HK"/>
        </w:rPr>
        <w:t>以上；</w:t>
      </w:r>
    </w:p>
    <w:p w14:paraId="56802480"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中性</w:t>
      </w:r>
      <w:r w:rsidRPr="00243E58">
        <w:rPr>
          <w:rFonts w:eastAsia="楷体" w:hint="eastAsia"/>
          <w:sz w:val="21"/>
          <w:szCs w:val="21"/>
        </w:rPr>
        <w:t>——相对同期相关证券市场代表性指数涨幅介于</w:t>
      </w:r>
      <w:r w:rsidRPr="00243E58">
        <w:rPr>
          <w:rFonts w:eastAsia="楷体" w:hint="eastAsia"/>
          <w:sz w:val="21"/>
          <w:szCs w:val="21"/>
        </w:rPr>
        <w:t>-10%</w:t>
      </w:r>
      <w:r w:rsidRPr="00243E58">
        <w:rPr>
          <w:rFonts w:eastAsia="楷体" w:hint="eastAsia"/>
          <w:sz w:val="21"/>
          <w:szCs w:val="21"/>
        </w:rPr>
        <w:t>～</w:t>
      </w:r>
      <w:r w:rsidRPr="00243E58">
        <w:rPr>
          <w:rFonts w:eastAsia="楷体" w:hint="eastAsia"/>
          <w:sz w:val="21"/>
          <w:szCs w:val="21"/>
        </w:rPr>
        <w:t>10%</w:t>
      </w:r>
      <w:r w:rsidRPr="00243E58">
        <w:rPr>
          <w:rFonts w:eastAsia="楷体" w:hint="eastAsia"/>
          <w:sz w:val="21"/>
          <w:szCs w:val="21"/>
        </w:rPr>
        <w:t>之间；</w:t>
      </w:r>
    </w:p>
    <w:p w14:paraId="0D0515AD" w14:textId="77777777" w:rsidR="00E372C5" w:rsidRPr="00243E58" w:rsidRDefault="00E372C5" w:rsidP="00E372C5">
      <w:pPr>
        <w:pStyle w:val="Default"/>
        <w:spacing w:line="276" w:lineRule="auto"/>
        <w:jc w:val="both"/>
        <w:rPr>
          <w:rFonts w:eastAsia="楷体"/>
          <w:sz w:val="21"/>
          <w:szCs w:val="21"/>
          <w:lang w:eastAsia="zh-HK"/>
        </w:rPr>
      </w:pPr>
      <w:r w:rsidRPr="00243E58">
        <w:rPr>
          <w:rFonts w:eastAsia="楷体" w:hint="eastAsia"/>
          <w:sz w:val="21"/>
          <w:szCs w:val="21"/>
          <w:lang w:eastAsia="zh-HK"/>
        </w:rPr>
        <w:t>弱于大市——相对同期相关证券市场代表性指数跌幅</w:t>
      </w:r>
      <w:r w:rsidRPr="00243E58">
        <w:rPr>
          <w:rFonts w:eastAsia="楷体" w:hint="eastAsia"/>
          <w:sz w:val="21"/>
          <w:szCs w:val="21"/>
          <w:lang w:eastAsia="zh-HK"/>
        </w:rPr>
        <w:t>10%</w:t>
      </w:r>
      <w:r w:rsidRPr="00243E58">
        <w:rPr>
          <w:rFonts w:eastAsia="楷体" w:hint="eastAsia"/>
          <w:sz w:val="21"/>
          <w:szCs w:val="21"/>
          <w:lang w:eastAsia="zh-HK"/>
        </w:rPr>
        <w:t>以上。</w:t>
      </w:r>
    </w:p>
    <w:p w14:paraId="171D32CA" w14:textId="77777777" w:rsidR="00E372C5" w:rsidRPr="00243E58" w:rsidRDefault="00E372C5" w:rsidP="00E372C5">
      <w:pPr>
        <w:rPr>
          <w:szCs w:val="21"/>
        </w:rPr>
      </w:pPr>
    </w:p>
    <w:p w14:paraId="563237EA" w14:textId="77777777" w:rsidR="00E372C5" w:rsidRPr="00243E58" w:rsidRDefault="00E372C5" w:rsidP="00E372C5">
      <w:pPr>
        <w:rPr>
          <w:b/>
          <w:bCs/>
          <w:szCs w:val="21"/>
        </w:rPr>
      </w:pPr>
      <w:r w:rsidRPr="00243E58">
        <w:rPr>
          <w:rFonts w:hint="eastAsia"/>
          <w:b/>
          <w:bCs/>
          <w:szCs w:val="21"/>
        </w:rPr>
        <w:t>免责声明</w:t>
      </w:r>
    </w:p>
    <w:p w14:paraId="5F97DF40" w14:textId="77777777" w:rsidR="00E372C5" w:rsidRPr="00243E58" w:rsidRDefault="00E372C5" w:rsidP="00E372C5">
      <w:pPr>
        <w:ind w:right="21"/>
        <w:rPr>
          <w:szCs w:val="21"/>
        </w:rPr>
      </w:pPr>
      <w:r w:rsidRPr="00243E58">
        <w:rPr>
          <w:rFonts w:hint="eastAsia"/>
          <w:szCs w:val="21"/>
        </w:rPr>
        <w:t>中达证券投资有限公司与本报告所涵盖的公司或有业务往来。因此，投资者应该意识到公司可能存在利益冲突，这可能会影响报告的客观性。投资者在做出投资决策时，应仅将本报告视为参考因素之一。</w:t>
      </w:r>
    </w:p>
    <w:p w14:paraId="605C92E2" w14:textId="77777777" w:rsidR="00E372C5" w:rsidRPr="00243E58" w:rsidRDefault="00E372C5" w:rsidP="00E372C5">
      <w:pPr>
        <w:ind w:right="21"/>
        <w:rPr>
          <w:szCs w:val="21"/>
        </w:rPr>
      </w:pPr>
      <w:r w:rsidRPr="00243E58">
        <w:rPr>
          <w:rFonts w:hint="eastAsia"/>
          <w:szCs w:val="21"/>
        </w:rPr>
        <w:t>本研究报告所提供的任何资料仅供参考，并不考虑任何特定接受者的投资目标、财务状况或风险承受能力，也不构成任何招标或买卖任何证券或任何其他金融工具的要约。本报告并未经香港证监会审核。投资有风险，在签订任何投资合同之前，个人应在必要时做出判断或寻求专业意见。</w:t>
      </w:r>
    </w:p>
    <w:p w14:paraId="5A7BD2E0" w14:textId="77777777" w:rsidR="00E372C5" w:rsidRPr="00243E58" w:rsidRDefault="00E372C5" w:rsidP="00E372C5">
      <w:pPr>
        <w:ind w:right="21"/>
        <w:rPr>
          <w:szCs w:val="21"/>
        </w:rPr>
      </w:pPr>
      <w:r w:rsidRPr="00243E58">
        <w:rPr>
          <w:rFonts w:hint="eastAsia"/>
          <w:szCs w:val="21"/>
        </w:rPr>
        <w:t>本报告所载资料来自中达证券投资有限公司认为可靠的来源，但在本报告所载材料的准确性、完整性或可靠性方面，中达证券投资有限公司不提供任何明示或暗示的表述或保证。所有与价格相关的信息均为指导性信息，本报告中提到的投资价值和来自这些信息的收入可能会波动。本报告所载资料随时可能有所改变，中达证券投资有限公司不承诺就该等更改发出通知。</w:t>
      </w:r>
    </w:p>
    <w:p w14:paraId="5B55AEFE" w14:textId="77777777" w:rsidR="00E372C5" w:rsidRPr="00243E58" w:rsidRDefault="00E372C5" w:rsidP="00E372C5">
      <w:pPr>
        <w:ind w:right="21"/>
        <w:rPr>
          <w:szCs w:val="21"/>
        </w:rPr>
      </w:pPr>
      <w:r w:rsidRPr="00243E58">
        <w:rPr>
          <w:rFonts w:hint="eastAsia"/>
          <w:szCs w:val="21"/>
        </w:rPr>
        <w:lastRenderedPageBreak/>
        <w:t>过往业绩不能代表未来表现，未来回报不可保证，并可能发生本金的损失。中达证券投资有限公司及其附属公司、高级职员、董事和雇员可能不时买卖本报告中提到的证券、认股权证、期货、期权、衍生产品或其他金融工具。</w:t>
      </w:r>
    </w:p>
    <w:p w14:paraId="01273B64" w14:textId="77777777" w:rsidR="00E372C5" w:rsidRPr="00243E58" w:rsidRDefault="00E372C5" w:rsidP="00E372C5">
      <w:pPr>
        <w:ind w:right="21"/>
        <w:rPr>
          <w:szCs w:val="21"/>
        </w:rPr>
      </w:pPr>
      <w:r w:rsidRPr="00243E58">
        <w:rPr>
          <w:rFonts w:hint="eastAsia"/>
          <w:szCs w:val="21"/>
        </w:rPr>
        <w:t>在任何情况下，本报告中的信息或意见均不构成对任何人的投资建议。中达证券投资有限公司或中达证券投资有限公司的任何其他成员在任何情况下均不对依赖本报告内容发生的任何第三方的作为或不作为造成的任何直接、间接、后果或附带损失承担责任。</w:t>
      </w:r>
    </w:p>
    <w:p w14:paraId="591E1B22" w14:textId="793AB049" w:rsidR="00E372C5" w:rsidRDefault="00E372C5" w:rsidP="00E372C5">
      <w:pPr>
        <w:ind w:right="21"/>
        <w:rPr>
          <w:szCs w:val="21"/>
        </w:rPr>
      </w:pPr>
      <w:r w:rsidRPr="00243E58">
        <w:rPr>
          <w:rFonts w:hint="eastAsia"/>
          <w:szCs w:val="21"/>
        </w:rPr>
        <w:t>本报告不会发送或打算发送给任何处于此种发送、公布、提供或使用将违反任何法律、条例、规则或其他登记或执照要求的任何地方、国家或其他管辖范围内的个人或实体使用。</w:t>
      </w:r>
    </w:p>
    <w:p w14:paraId="5B89CED0" w14:textId="70C6238A" w:rsidR="002919F8" w:rsidRPr="002919F8" w:rsidRDefault="002919F8" w:rsidP="00E372C5">
      <w:pPr>
        <w:ind w:right="21"/>
        <w:rPr>
          <w:szCs w:val="21"/>
        </w:rPr>
      </w:pPr>
      <w:r w:rsidRPr="004F1FC6">
        <w:rPr>
          <w:rFonts w:hint="eastAsia"/>
          <w:szCs w:val="21"/>
        </w:rPr>
        <w:t>本报告在香港只向专业投资者（定义见《证券及期货条例》（香港法律第</w:t>
      </w:r>
      <w:r w:rsidRPr="004F1FC6">
        <w:rPr>
          <w:rFonts w:hint="eastAsia"/>
          <w:szCs w:val="21"/>
        </w:rPr>
        <w:t>571</w:t>
      </w:r>
      <w:r w:rsidRPr="004F1FC6">
        <w:rPr>
          <w:rFonts w:hint="eastAsia"/>
          <w:szCs w:val="21"/>
        </w:rPr>
        <w:t>章）及在香港颁布的任何法规）以及不违反香港证券法的情况下分发。</w:t>
      </w:r>
    </w:p>
    <w:p w14:paraId="7303BCD8" w14:textId="2E14929C" w:rsidR="00E372C5" w:rsidRDefault="00E372C5" w:rsidP="00E372C5">
      <w:pPr>
        <w:ind w:right="21"/>
        <w:rPr>
          <w:szCs w:val="21"/>
        </w:rPr>
      </w:pPr>
      <w:proofErr w:type="gramStart"/>
      <w:r w:rsidRPr="00243E58">
        <w:rPr>
          <w:rFonts w:hint="eastAsia"/>
          <w:szCs w:val="21"/>
        </w:rPr>
        <w:t>未经中</w:t>
      </w:r>
      <w:proofErr w:type="gramEnd"/>
      <w:r w:rsidRPr="00243E58">
        <w:rPr>
          <w:rFonts w:hint="eastAsia"/>
          <w:szCs w:val="21"/>
        </w:rPr>
        <w:t>达证券投资有限公司事先书面授权，任何人不得为任何目的复制、发送或出版本报告。中</w:t>
      </w:r>
      <w:proofErr w:type="gramStart"/>
      <w:r w:rsidRPr="00243E58">
        <w:rPr>
          <w:rFonts w:hint="eastAsia"/>
          <w:szCs w:val="21"/>
        </w:rPr>
        <w:t>达证券</w:t>
      </w:r>
      <w:proofErr w:type="gramEnd"/>
      <w:r w:rsidRPr="00243E58">
        <w:rPr>
          <w:rFonts w:hint="eastAsia"/>
          <w:szCs w:val="21"/>
        </w:rPr>
        <w:t>保留所有权利。</w:t>
      </w:r>
    </w:p>
    <w:p w14:paraId="0037E267" w14:textId="3A8C2B9C" w:rsidR="00635C0D" w:rsidRDefault="00635C0D" w:rsidP="00635C0D">
      <w:pPr>
        <w:pStyle w:val="ad"/>
        <w:rPr>
          <w:szCs w:val="21"/>
        </w:rPr>
      </w:pPr>
    </w:p>
    <w:p w14:paraId="48ADFB80" w14:textId="7629B298" w:rsidR="00DB5785" w:rsidRPr="00DB5785" w:rsidRDefault="00DB5785" w:rsidP="00DB5785">
      <w:pPr>
        <w:pStyle w:val="ad"/>
      </w:pPr>
    </w:p>
    <w:sectPr w:rsidR="00DB5785" w:rsidRPr="00DB5785" w:rsidSect="00EA28DE">
      <w:type w:val="continuous"/>
      <w:pgSz w:w="12240" w:h="15840"/>
      <w:pgMar w:top="1942" w:right="1077" w:bottom="1418" w:left="1077" w:header="709" w:footer="9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3DE62" w14:textId="77777777" w:rsidR="00A778EF" w:rsidRDefault="00A778EF" w:rsidP="00AF0924">
      <w:pPr>
        <w:spacing w:after="0" w:line="240" w:lineRule="auto"/>
      </w:pPr>
      <w:r>
        <w:separator/>
      </w:r>
    </w:p>
  </w:endnote>
  <w:endnote w:type="continuationSeparator" w:id="0">
    <w:p w14:paraId="32106D12" w14:textId="77777777" w:rsidR="00A778EF" w:rsidRDefault="00A778EF" w:rsidP="00AF0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Aharoni">
    <w:altName w:val="Segoe Print"/>
    <w:charset w:val="B1"/>
    <w:family w:val="auto"/>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KaiTi">
    <w:altName w:val="KaiTi"/>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A892B" w14:textId="5B987428" w:rsidR="00307227" w:rsidRDefault="00307227">
    <w:pPr>
      <w:pStyle w:val="a9"/>
    </w:pPr>
    <w:r>
      <w:rPr>
        <w:noProof/>
      </w:rPr>
      <mc:AlternateContent>
        <mc:Choice Requires="wps">
          <w:drawing>
            <wp:anchor distT="0" distB="0" distL="114300" distR="114300" simplePos="0" relativeHeight="251660288" behindDoc="0" locked="0" layoutInCell="1" allowOverlap="1" wp14:anchorId="688C7735" wp14:editId="6FC628DB">
              <wp:simplePos x="0" y="0"/>
              <wp:positionH relativeFrom="column">
                <wp:posOffset>-214526</wp:posOffset>
              </wp:positionH>
              <wp:positionV relativeFrom="paragraph">
                <wp:posOffset>85725</wp:posOffset>
              </wp:positionV>
              <wp:extent cx="6762750" cy="0"/>
              <wp:effectExtent l="0" t="19050" r="0" b="19050"/>
              <wp:wrapNone/>
              <wp:docPr id="22" name="直接连接符 22"/>
              <wp:cNvGraphicFramePr/>
              <a:graphic xmlns:a="http://schemas.openxmlformats.org/drawingml/2006/main">
                <a:graphicData uri="http://schemas.microsoft.com/office/word/2010/wordprocessingShape">
                  <wps:wsp>
                    <wps:cNvCnPr/>
                    <wps:spPr>
                      <a:xfrm>
                        <a:off x="0" y="0"/>
                        <a:ext cx="6762750" cy="0"/>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0FB93E" id="直接连接符 2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6.9pt,6.75pt" to="515.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" strokecolor="#7f7f7f [1612]" strokeweight="2.25pt"/>
          </w:pict>
        </mc:Fallback>
      </mc:AlternateContent>
    </w:r>
  </w:p>
  <w:p w14:paraId="75AD00DF" w14:textId="02AD1793" w:rsidR="00307227" w:rsidRDefault="00A778EF" w:rsidP="005D7D46">
    <w:pPr>
      <w:pStyle w:val="a9"/>
      <w:tabs>
        <w:tab w:val="clear" w:pos="4320"/>
        <w:tab w:val="clear" w:pos="8640"/>
        <w:tab w:val="left" w:pos="8789"/>
        <w:tab w:val="right" w:pos="10065"/>
      </w:tabs>
      <w:jc w:val="left"/>
    </w:pPr>
    <w:sdt>
      <w:sdtPr>
        <w:id w:val="1654710474"/>
        <w:docPartObj>
          <w:docPartGallery w:val="Page Numbers (Bottom of Page)"/>
          <w:docPartUnique/>
        </w:docPartObj>
      </w:sdtPr>
      <w:sdtEndPr/>
      <w:sdtContent>
        <w:sdt>
          <w:sdtPr>
            <w:id w:val="439262207"/>
            <w:docPartObj>
              <w:docPartGallery w:val="Page Numbers (Top of Page)"/>
              <w:docPartUnique/>
            </w:docPartObj>
          </w:sdtPr>
          <w:sdtEndPr/>
          <w:sdtContent>
            <w:r w:rsidR="00307227" w:rsidRPr="009D2832">
              <w:rPr>
                <w:rFonts w:ascii="楷体" w:hAnsi="楷体" w:hint="eastAsia"/>
                <w:b/>
                <w:bCs/>
              </w:rPr>
              <w:t>请务必阅读正文之后的免责条款部分</w:t>
            </w:r>
            <w:r w:rsidR="00307227">
              <w:tab/>
            </w:r>
            <w:r w:rsidR="00307227">
              <w:tab/>
            </w:r>
            <w:r w:rsidR="00307227">
              <w:rPr>
                <w:b/>
                <w:bCs/>
                <w:sz w:val="24"/>
                <w:szCs w:val="24"/>
              </w:rPr>
              <w:fldChar w:fldCharType="begin"/>
            </w:r>
            <w:r w:rsidR="00307227">
              <w:rPr>
                <w:b/>
                <w:bCs/>
              </w:rPr>
              <w:instrText>PAGE</w:instrText>
            </w:r>
            <w:r w:rsidR="00307227">
              <w:rPr>
                <w:b/>
                <w:bCs/>
                <w:sz w:val="24"/>
                <w:szCs w:val="24"/>
              </w:rPr>
              <w:fldChar w:fldCharType="separate"/>
            </w:r>
            <w:r w:rsidR="00307227">
              <w:rPr>
                <w:b/>
                <w:bCs/>
                <w:noProof/>
              </w:rPr>
              <w:t>10</w:t>
            </w:r>
            <w:r w:rsidR="00307227">
              <w:rPr>
                <w:b/>
                <w:bCs/>
                <w:sz w:val="24"/>
                <w:szCs w:val="24"/>
              </w:rPr>
              <w:fldChar w:fldCharType="end"/>
            </w:r>
            <w:r w:rsidR="00307227" w:rsidRPr="00111DDB">
              <w:t xml:space="preserve"> / </w:t>
            </w:r>
            <w:r w:rsidR="00307227">
              <w:rPr>
                <w:b/>
                <w:bCs/>
                <w:sz w:val="24"/>
                <w:szCs w:val="24"/>
              </w:rPr>
              <w:fldChar w:fldCharType="begin"/>
            </w:r>
            <w:r w:rsidR="00307227">
              <w:rPr>
                <w:b/>
                <w:bCs/>
              </w:rPr>
              <w:instrText>NUMPAGES</w:instrText>
            </w:r>
            <w:r w:rsidR="00307227">
              <w:rPr>
                <w:b/>
                <w:bCs/>
                <w:sz w:val="24"/>
                <w:szCs w:val="24"/>
              </w:rPr>
              <w:fldChar w:fldCharType="separate"/>
            </w:r>
            <w:r w:rsidR="00307227">
              <w:rPr>
                <w:b/>
                <w:bCs/>
                <w:noProof/>
              </w:rPr>
              <w:t>10</w:t>
            </w:r>
            <w:r w:rsidR="00307227">
              <w:rPr>
                <w:b/>
                <w:bCs/>
                <w:sz w:val="24"/>
                <w:szCs w:val="24"/>
              </w:rPr>
              <w:fldChar w:fldCharType="end"/>
            </w:r>
          </w:sdtContent>
        </w:sdt>
      </w:sdtContent>
    </w:sdt>
  </w:p>
  <w:p w14:paraId="09076B71" w14:textId="77777777" w:rsidR="00307227" w:rsidRDefault="0030722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84D40" w14:textId="77777777" w:rsidR="00A778EF" w:rsidRDefault="00A778EF" w:rsidP="00AF0924">
      <w:pPr>
        <w:spacing w:after="0" w:line="240" w:lineRule="auto"/>
      </w:pPr>
      <w:r>
        <w:separator/>
      </w:r>
    </w:p>
  </w:footnote>
  <w:footnote w:type="continuationSeparator" w:id="0">
    <w:p w14:paraId="60A3B682" w14:textId="77777777" w:rsidR="00A778EF" w:rsidRDefault="00A778EF" w:rsidP="00AF0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B19F8" w14:textId="591DBD0F" w:rsidR="00307227" w:rsidRDefault="00307227">
    <w:pPr>
      <w:pStyle w:val="a7"/>
    </w:pPr>
    <w:r>
      <w:rPr>
        <w:noProof/>
      </w:rPr>
      <mc:AlternateContent>
        <mc:Choice Requires="wps">
          <w:drawing>
            <wp:anchor distT="0" distB="0" distL="114300" distR="114300" simplePos="0" relativeHeight="251659264" behindDoc="0" locked="0" layoutInCell="1" allowOverlap="1" wp14:anchorId="24DF974D" wp14:editId="30BC27BC">
              <wp:simplePos x="0" y="0"/>
              <wp:positionH relativeFrom="column">
                <wp:posOffset>-285163</wp:posOffset>
              </wp:positionH>
              <wp:positionV relativeFrom="paragraph">
                <wp:posOffset>597535</wp:posOffset>
              </wp:positionV>
              <wp:extent cx="6905625" cy="0"/>
              <wp:effectExtent l="0" t="19050" r="9525" b="19050"/>
              <wp:wrapNone/>
              <wp:docPr id="21" name="直接连接符 21"/>
              <wp:cNvGraphicFramePr/>
              <a:graphic xmlns:a="http://schemas.openxmlformats.org/drawingml/2006/main">
                <a:graphicData uri="http://schemas.microsoft.com/office/word/2010/wordprocessingShape">
                  <wps:wsp>
                    <wps:cNvCnPr/>
                    <wps:spPr>
                      <a:xfrm>
                        <a:off x="0" y="0"/>
                        <a:ext cx="690562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8B2A9E4" id="直接连接符 21"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45pt,47.05pt" to="521.3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" strokecolor="red" strokeweight="2.25pt"/>
          </w:pict>
        </mc:Fallback>
      </mc:AlternateContent>
    </w:r>
    <w:r w:rsidRPr="006151C2">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rPr>
      <w:drawing>
        <wp:inline distT="0" distB="0" distL="0" distR="0" wp14:anchorId="64EAC3C9" wp14:editId="6736CD1C">
          <wp:extent cx="3480940" cy="577850"/>
          <wp:effectExtent l="0" t="0" r="571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WSI-LOGO_副本1.jpg"/>
                  <pic:cNvPicPr/>
                </pic:nvPicPr>
                <pic:blipFill>
                  <a:blip r:embed="rId1">
                    <a:extLst>
                      <a:ext uri="{28A0092B-C50C-407E-A947-70E740481C1C}">
                        <a14:useLocalDpi xmlns:a14="http://schemas.microsoft.com/office/drawing/2010/main" val="0"/>
                      </a:ext>
                    </a:extLst>
                  </a:blip>
                  <a:stretch>
                    <a:fillRect/>
                  </a:stretch>
                </pic:blipFill>
                <pic:spPr>
                  <a:xfrm>
                    <a:off x="0" y="0"/>
                    <a:ext cx="3575422" cy="59353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15379" w14:textId="77777777" w:rsidR="00307227" w:rsidRDefault="00307227">
    <w:pPr>
      <w:pStyle w:val="a7"/>
    </w:pPr>
  </w:p>
  <w:p w14:paraId="27DC1037" w14:textId="77777777" w:rsidR="00307227" w:rsidRDefault="0030722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067D1"/>
    <w:multiLevelType w:val="hybridMultilevel"/>
    <w:tmpl w:val="1640D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160DD7"/>
    <w:multiLevelType w:val="hybridMultilevel"/>
    <w:tmpl w:val="D1D6BF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91D67"/>
    <w:multiLevelType w:val="hybridMultilevel"/>
    <w:tmpl w:val="DFD46E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3C4F46"/>
    <w:multiLevelType w:val="hybridMultilevel"/>
    <w:tmpl w:val="C706E416"/>
    <w:lvl w:ilvl="0" w:tplc="CA769160">
      <w:start w:val="1"/>
      <w:numFmt w:val="decimal"/>
      <w:lvlText w:val="%1."/>
      <w:lvlJc w:val="left"/>
      <w:pPr>
        <w:ind w:left="720" w:hanging="360"/>
      </w:pPr>
      <w:rPr>
        <w:rFonts w:ascii="Times New Roman" w:eastAsiaTheme="minorEastAsia"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BB0B19"/>
    <w:multiLevelType w:val="hybridMultilevel"/>
    <w:tmpl w:val="0DC2399A"/>
    <w:lvl w:ilvl="0" w:tplc="667ABB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48C0021"/>
    <w:multiLevelType w:val="hybridMultilevel"/>
    <w:tmpl w:val="077EE3C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AF85478"/>
    <w:multiLevelType w:val="hybridMultilevel"/>
    <w:tmpl w:val="9776FD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B01335"/>
    <w:multiLevelType w:val="hybridMultilevel"/>
    <w:tmpl w:val="258A88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7E4E65"/>
    <w:multiLevelType w:val="hybridMultilevel"/>
    <w:tmpl w:val="AA480DD2"/>
    <w:lvl w:ilvl="0" w:tplc="DE90C1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6"/>
  </w:num>
  <w:num w:numId="3">
    <w:abstractNumId w:val="7"/>
  </w:num>
  <w:num w:numId="4">
    <w:abstractNumId w:val="5"/>
  </w:num>
  <w:num w:numId="5">
    <w:abstractNumId w:val="2"/>
  </w:num>
  <w:num w:numId="6">
    <w:abstractNumId w:val="4"/>
  </w:num>
  <w:num w:numId="7">
    <w:abstractNumId w:val="0"/>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bordersDoNotSurroundHeader/>
  <w:bordersDoNotSurroundFooter/>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4A"/>
    <w:rsid w:val="00000393"/>
    <w:rsid w:val="00002C90"/>
    <w:rsid w:val="0000349A"/>
    <w:rsid w:val="0000415D"/>
    <w:rsid w:val="0000454F"/>
    <w:rsid w:val="000077AB"/>
    <w:rsid w:val="00007BA3"/>
    <w:rsid w:val="00010211"/>
    <w:rsid w:val="000102F5"/>
    <w:rsid w:val="00011B0C"/>
    <w:rsid w:val="00011B26"/>
    <w:rsid w:val="000134D9"/>
    <w:rsid w:val="000137DA"/>
    <w:rsid w:val="000150BE"/>
    <w:rsid w:val="00016D3D"/>
    <w:rsid w:val="0001745B"/>
    <w:rsid w:val="000205A9"/>
    <w:rsid w:val="00021A40"/>
    <w:rsid w:val="000223CB"/>
    <w:rsid w:val="0002419D"/>
    <w:rsid w:val="00024BB3"/>
    <w:rsid w:val="00024C90"/>
    <w:rsid w:val="0002504C"/>
    <w:rsid w:val="000256C5"/>
    <w:rsid w:val="00025C28"/>
    <w:rsid w:val="00031CF7"/>
    <w:rsid w:val="0003240F"/>
    <w:rsid w:val="0003359D"/>
    <w:rsid w:val="00034126"/>
    <w:rsid w:val="00035027"/>
    <w:rsid w:val="000358D3"/>
    <w:rsid w:val="000359BB"/>
    <w:rsid w:val="000377C4"/>
    <w:rsid w:val="0004053E"/>
    <w:rsid w:val="00040E84"/>
    <w:rsid w:val="000420B2"/>
    <w:rsid w:val="00042100"/>
    <w:rsid w:val="00042174"/>
    <w:rsid w:val="0004384E"/>
    <w:rsid w:val="00044F1E"/>
    <w:rsid w:val="00045A85"/>
    <w:rsid w:val="00046B96"/>
    <w:rsid w:val="00046E44"/>
    <w:rsid w:val="00047C59"/>
    <w:rsid w:val="0005032F"/>
    <w:rsid w:val="00050DEC"/>
    <w:rsid w:val="00052847"/>
    <w:rsid w:val="000529D7"/>
    <w:rsid w:val="00053447"/>
    <w:rsid w:val="000546A7"/>
    <w:rsid w:val="00054CB3"/>
    <w:rsid w:val="00055570"/>
    <w:rsid w:val="000605B7"/>
    <w:rsid w:val="00062052"/>
    <w:rsid w:val="000633A8"/>
    <w:rsid w:val="00063DB1"/>
    <w:rsid w:val="00064B73"/>
    <w:rsid w:val="00066981"/>
    <w:rsid w:val="00066ECE"/>
    <w:rsid w:val="00070759"/>
    <w:rsid w:val="00070F93"/>
    <w:rsid w:val="000747FE"/>
    <w:rsid w:val="00074CF7"/>
    <w:rsid w:val="0007595C"/>
    <w:rsid w:val="00081BD7"/>
    <w:rsid w:val="00084B35"/>
    <w:rsid w:val="00084BE5"/>
    <w:rsid w:val="00085A12"/>
    <w:rsid w:val="00085A32"/>
    <w:rsid w:val="000904FB"/>
    <w:rsid w:val="00091AC6"/>
    <w:rsid w:val="00093B0D"/>
    <w:rsid w:val="00093D55"/>
    <w:rsid w:val="00094444"/>
    <w:rsid w:val="000958C1"/>
    <w:rsid w:val="00095FA8"/>
    <w:rsid w:val="000A0F5C"/>
    <w:rsid w:val="000A1307"/>
    <w:rsid w:val="000A3F7D"/>
    <w:rsid w:val="000A6BDD"/>
    <w:rsid w:val="000A70B0"/>
    <w:rsid w:val="000B6F53"/>
    <w:rsid w:val="000C07C5"/>
    <w:rsid w:val="000C1692"/>
    <w:rsid w:val="000C3AC0"/>
    <w:rsid w:val="000C4CDF"/>
    <w:rsid w:val="000D0F21"/>
    <w:rsid w:val="000D2AF6"/>
    <w:rsid w:val="000D341B"/>
    <w:rsid w:val="000D56C2"/>
    <w:rsid w:val="000D6172"/>
    <w:rsid w:val="000D7D34"/>
    <w:rsid w:val="000E04AE"/>
    <w:rsid w:val="000E2112"/>
    <w:rsid w:val="000E2E4F"/>
    <w:rsid w:val="000E32E2"/>
    <w:rsid w:val="000E4561"/>
    <w:rsid w:val="000E4C71"/>
    <w:rsid w:val="000E5CC9"/>
    <w:rsid w:val="000E6687"/>
    <w:rsid w:val="000F15E7"/>
    <w:rsid w:val="000F1640"/>
    <w:rsid w:val="000F21A4"/>
    <w:rsid w:val="000F297E"/>
    <w:rsid w:val="000F351F"/>
    <w:rsid w:val="000F37FB"/>
    <w:rsid w:val="000F5A2E"/>
    <w:rsid w:val="000F5C1B"/>
    <w:rsid w:val="000F5E60"/>
    <w:rsid w:val="000F67F0"/>
    <w:rsid w:val="000F6903"/>
    <w:rsid w:val="000F69C6"/>
    <w:rsid w:val="00104069"/>
    <w:rsid w:val="001050BF"/>
    <w:rsid w:val="00105A05"/>
    <w:rsid w:val="00105B38"/>
    <w:rsid w:val="00105CFA"/>
    <w:rsid w:val="00105D9C"/>
    <w:rsid w:val="00106459"/>
    <w:rsid w:val="00106D20"/>
    <w:rsid w:val="001075B4"/>
    <w:rsid w:val="00111704"/>
    <w:rsid w:val="00111DDB"/>
    <w:rsid w:val="00111F95"/>
    <w:rsid w:val="001129B6"/>
    <w:rsid w:val="0011318A"/>
    <w:rsid w:val="00113921"/>
    <w:rsid w:val="00113EDD"/>
    <w:rsid w:val="00114492"/>
    <w:rsid w:val="00115CFB"/>
    <w:rsid w:val="001177A0"/>
    <w:rsid w:val="00117E39"/>
    <w:rsid w:val="001208BA"/>
    <w:rsid w:val="00122195"/>
    <w:rsid w:val="001234C5"/>
    <w:rsid w:val="001246BD"/>
    <w:rsid w:val="00126251"/>
    <w:rsid w:val="00126412"/>
    <w:rsid w:val="00126B4A"/>
    <w:rsid w:val="00126E38"/>
    <w:rsid w:val="00127049"/>
    <w:rsid w:val="00127785"/>
    <w:rsid w:val="00131724"/>
    <w:rsid w:val="00131D24"/>
    <w:rsid w:val="00136BD1"/>
    <w:rsid w:val="00136EB5"/>
    <w:rsid w:val="00146413"/>
    <w:rsid w:val="00146DE1"/>
    <w:rsid w:val="0014700B"/>
    <w:rsid w:val="001502D1"/>
    <w:rsid w:val="0015167A"/>
    <w:rsid w:val="00153EE0"/>
    <w:rsid w:val="00153FD6"/>
    <w:rsid w:val="001577B7"/>
    <w:rsid w:val="00162D98"/>
    <w:rsid w:val="00163555"/>
    <w:rsid w:val="0016397B"/>
    <w:rsid w:val="00165284"/>
    <w:rsid w:val="00165E39"/>
    <w:rsid w:val="00166F27"/>
    <w:rsid w:val="001740E5"/>
    <w:rsid w:val="00176C90"/>
    <w:rsid w:val="00182645"/>
    <w:rsid w:val="00182C6C"/>
    <w:rsid w:val="00183E26"/>
    <w:rsid w:val="001840C6"/>
    <w:rsid w:val="00184B81"/>
    <w:rsid w:val="001852ED"/>
    <w:rsid w:val="001874DC"/>
    <w:rsid w:val="00187A2A"/>
    <w:rsid w:val="001900C7"/>
    <w:rsid w:val="0019244B"/>
    <w:rsid w:val="00193568"/>
    <w:rsid w:val="001955F5"/>
    <w:rsid w:val="001A10E3"/>
    <w:rsid w:val="001A147D"/>
    <w:rsid w:val="001A2FBA"/>
    <w:rsid w:val="001A3E60"/>
    <w:rsid w:val="001A4DD7"/>
    <w:rsid w:val="001A4F24"/>
    <w:rsid w:val="001A5F02"/>
    <w:rsid w:val="001A68F3"/>
    <w:rsid w:val="001B1533"/>
    <w:rsid w:val="001B245E"/>
    <w:rsid w:val="001B2FF6"/>
    <w:rsid w:val="001B30DA"/>
    <w:rsid w:val="001B3339"/>
    <w:rsid w:val="001B7A4F"/>
    <w:rsid w:val="001C0B3D"/>
    <w:rsid w:val="001C17EA"/>
    <w:rsid w:val="001C258A"/>
    <w:rsid w:val="001C26C0"/>
    <w:rsid w:val="001C5277"/>
    <w:rsid w:val="001D006D"/>
    <w:rsid w:val="001D05BC"/>
    <w:rsid w:val="001D3823"/>
    <w:rsid w:val="001D3DC2"/>
    <w:rsid w:val="001D4EEF"/>
    <w:rsid w:val="001D57C0"/>
    <w:rsid w:val="001D5977"/>
    <w:rsid w:val="001E3426"/>
    <w:rsid w:val="001E38CC"/>
    <w:rsid w:val="001E624F"/>
    <w:rsid w:val="001F0026"/>
    <w:rsid w:val="001F05D6"/>
    <w:rsid w:val="001F07CE"/>
    <w:rsid w:val="001F162C"/>
    <w:rsid w:val="001F1D37"/>
    <w:rsid w:val="001F203D"/>
    <w:rsid w:val="001F4B2C"/>
    <w:rsid w:val="001F4DB1"/>
    <w:rsid w:val="001F5B42"/>
    <w:rsid w:val="001F5DE6"/>
    <w:rsid w:val="0020014B"/>
    <w:rsid w:val="002002BE"/>
    <w:rsid w:val="00202059"/>
    <w:rsid w:val="0020281F"/>
    <w:rsid w:val="002029C5"/>
    <w:rsid w:val="00202F86"/>
    <w:rsid w:val="0020391D"/>
    <w:rsid w:val="00204274"/>
    <w:rsid w:val="002053FC"/>
    <w:rsid w:val="00205CCF"/>
    <w:rsid w:val="00206384"/>
    <w:rsid w:val="00207F08"/>
    <w:rsid w:val="00211210"/>
    <w:rsid w:val="002146F5"/>
    <w:rsid w:val="002151E9"/>
    <w:rsid w:val="002153F0"/>
    <w:rsid w:val="00215D9B"/>
    <w:rsid w:val="00222429"/>
    <w:rsid w:val="00224825"/>
    <w:rsid w:val="00224A79"/>
    <w:rsid w:val="002265EC"/>
    <w:rsid w:val="00230739"/>
    <w:rsid w:val="002338D9"/>
    <w:rsid w:val="0023412B"/>
    <w:rsid w:val="00234A6C"/>
    <w:rsid w:val="00237ED1"/>
    <w:rsid w:val="00243462"/>
    <w:rsid w:val="002446C3"/>
    <w:rsid w:val="00246E79"/>
    <w:rsid w:val="00246FCE"/>
    <w:rsid w:val="00250028"/>
    <w:rsid w:val="00253EA9"/>
    <w:rsid w:val="002546B0"/>
    <w:rsid w:val="00256BD5"/>
    <w:rsid w:val="00257390"/>
    <w:rsid w:val="00263C3B"/>
    <w:rsid w:val="00263D6F"/>
    <w:rsid w:val="00264CE0"/>
    <w:rsid w:val="002672AE"/>
    <w:rsid w:val="002676C0"/>
    <w:rsid w:val="002721A5"/>
    <w:rsid w:val="002737B3"/>
    <w:rsid w:val="00276513"/>
    <w:rsid w:val="00276622"/>
    <w:rsid w:val="00277297"/>
    <w:rsid w:val="002803CF"/>
    <w:rsid w:val="0028050C"/>
    <w:rsid w:val="00280A90"/>
    <w:rsid w:val="002827E6"/>
    <w:rsid w:val="00282DC1"/>
    <w:rsid w:val="00283E32"/>
    <w:rsid w:val="002846F3"/>
    <w:rsid w:val="0028732D"/>
    <w:rsid w:val="002879E2"/>
    <w:rsid w:val="00290882"/>
    <w:rsid w:val="00290926"/>
    <w:rsid w:val="002919F8"/>
    <w:rsid w:val="00293058"/>
    <w:rsid w:val="002961AE"/>
    <w:rsid w:val="002975A8"/>
    <w:rsid w:val="002A136F"/>
    <w:rsid w:val="002A373B"/>
    <w:rsid w:val="002A37DF"/>
    <w:rsid w:val="002A3A7D"/>
    <w:rsid w:val="002A4606"/>
    <w:rsid w:val="002A5932"/>
    <w:rsid w:val="002B2585"/>
    <w:rsid w:val="002B291E"/>
    <w:rsid w:val="002B3092"/>
    <w:rsid w:val="002B3C8A"/>
    <w:rsid w:val="002B4B3C"/>
    <w:rsid w:val="002B4F94"/>
    <w:rsid w:val="002B548B"/>
    <w:rsid w:val="002C058E"/>
    <w:rsid w:val="002C0F7F"/>
    <w:rsid w:val="002C2BAB"/>
    <w:rsid w:val="002C305C"/>
    <w:rsid w:val="002C3175"/>
    <w:rsid w:val="002C344E"/>
    <w:rsid w:val="002C3452"/>
    <w:rsid w:val="002C7F14"/>
    <w:rsid w:val="002D03A1"/>
    <w:rsid w:val="002D142D"/>
    <w:rsid w:val="002D2598"/>
    <w:rsid w:val="002D6D17"/>
    <w:rsid w:val="002D7B88"/>
    <w:rsid w:val="002E2548"/>
    <w:rsid w:val="002E2AAF"/>
    <w:rsid w:val="002E2CE1"/>
    <w:rsid w:val="002E2D4C"/>
    <w:rsid w:val="002E39A5"/>
    <w:rsid w:val="002E442B"/>
    <w:rsid w:val="002E5181"/>
    <w:rsid w:val="002E59EA"/>
    <w:rsid w:val="002E6651"/>
    <w:rsid w:val="002E6906"/>
    <w:rsid w:val="002E7538"/>
    <w:rsid w:val="002E7BA5"/>
    <w:rsid w:val="002E7DCD"/>
    <w:rsid w:val="002F07C8"/>
    <w:rsid w:val="002F2180"/>
    <w:rsid w:val="002F253A"/>
    <w:rsid w:val="002F2A07"/>
    <w:rsid w:val="002F3277"/>
    <w:rsid w:val="002F5FE0"/>
    <w:rsid w:val="002F6973"/>
    <w:rsid w:val="003004EE"/>
    <w:rsid w:val="00301424"/>
    <w:rsid w:val="0030246C"/>
    <w:rsid w:val="0030640D"/>
    <w:rsid w:val="00307227"/>
    <w:rsid w:val="003118E0"/>
    <w:rsid w:val="00312EF6"/>
    <w:rsid w:val="00312F5A"/>
    <w:rsid w:val="00314548"/>
    <w:rsid w:val="00315086"/>
    <w:rsid w:val="00316F1D"/>
    <w:rsid w:val="00320145"/>
    <w:rsid w:val="00322ECB"/>
    <w:rsid w:val="00323E77"/>
    <w:rsid w:val="00326EE9"/>
    <w:rsid w:val="00327F58"/>
    <w:rsid w:val="00334025"/>
    <w:rsid w:val="003345C1"/>
    <w:rsid w:val="00336282"/>
    <w:rsid w:val="00336994"/>
    <w:rsid w:val="003412C1"/>
    <w:rsid w:val="00346100"/>
    <w:rsid w:val="00347229"/>
    <w:rsid w:val="0035223F"/>
    <w:rsid w:val="00355504"/>
    <w:rsid w:val="00355731"/>
    <w:rsid w:val="0035621A"/>
    <w:rsid w:val="00356424"/>
    <w:rsid w:val="003631A6"/>
    <w:rsid w:val="00364F0D"/>
    <w:rsid w:val="00367E7E"/>
    <w:rsid w:val="00373030"/>
    <w:rsid w:val="00373338"/>
    <w:rsid w:val="003737CE"/>
    <w:rsid w:val="0037470C"/>
    <w:rsid w:val="00375872"/>
    <w:rsid w:val="003761FC"/>
    <w:rsid w:val="003773E3"/>
    <w:rsid w:val="00377A56"/>
    <w:rsid w:val="00377F46"/>
    <w:rsid w:val="003817C1"/>
    <w:rsid w:val="00392124"/>
    <w:rsid w:val="00392280"/>
    <w:rsid w:val="003924F0"/>
    <w:rsid w:val="003940D7"/>
    <w:rsid w:val="00394E07"/>
    <w:rsid w:val="00395683"/>
    <w:rsid w:val="003A155F"/>
    <w:rsid w:val="003A3B35"/>
    <w:rsid w:val="003A4AF5"/>
    <w:rsid w:val="003A4C31"/>
    <w:rsid w:val="003A5627"/>
    <w:rsid w:val="003A5EC0"/>
    <w:rsid w:val="003A5F51"/>
    <w:rsid w:val="003A6205"/>
    <w:rsid w:val="003A6695"/>
    <w:rsid w:val="003B00EB"/>
    <w:rsid w:val="003B0782"/>
    <w:rsid w:val="003B2D90"/>
    <w:rsid w:val="003B2FC6"/>
    <w:rsid w:val="003B47D0"/>
    <w:rsid w:val="003B4938"/>
    <w:rsid w:val="003B5025"/>
    <w:rsid w:val="003B5367"/>
    <w:rsid w:val="003B5CC4"/>
    <w:rsid w:val="003B63CD"/>
    <w:rsid w:val="003B6D1C"/>
    <w:rsid w:val="003C1AF5"/>
    <w:rsid w:val="003C230D"/>
    <w:rsid w:val="003C39A5"/>
    <w:rsid w:val="003C3A82"/>
    <w:rsid w:val="003C3D33"/>
    <w:rsid w:val="003C3FF4"/>
    <w:rsid w:val="003C49FA"/>
    <w:rsid w:val="003C74E1"/>
    <w:rsid w:val="003D0C2B"/>
    <w:rsid w:val="003D13F1"/>
    <w:rsid w:val="003D24F6"/>
    <w:rsid w:val="003D2872"/>
    <w:rsid w:val="003D3787"/>
    <w:rsid w:val="003D41A3"/>
    <w:rsid w:val="003D4D0E"/>
    <w:rsid w:val="003D63EB"/>
    <w:rsid w:val="003D6CE7"/>
    <w:rsid w:val="003E15EA"/>
    <w:rsid w:val="003E1C26"/>
    <w:rsid w:val="003E26A7"/>
    <w:rsid w:val="003E345B"/>
    <w:rsid w:val="003E3995"/>
    <w:rsid w:val="003E4E9E"/>
    <w:rsid w:val="003E582E"/>
    <w:rsid w:val="003E74CE"/>
    <w:rsid w:val="003F15E9"/>
    <w:rsid w:val="003F1A88"/>
    <w:rsid w:val="003F210B"/>
    <w:rsid w:val="003F2B7D"/>
    <w:rsid w:val="00400833"/>
    <w:rsid w:val="00401376"/>
    <w:rsid w:val="004020A4"/>
    <w:rsid w:val="004049DE"/>
    <w:rsid w:val="004058EE"/>
    <w:rsid w:val="004065DA"/>
    <w:rsid w:val="00407DBC"/>
    <w:rsid w:val="00412012"/>
    <w:rsid w:val="00412221"/>
    <w:rsid w:val="00412C82"/>
    <w:rsid w:val="004134DE"/>
    <w:rsid w:val="0041442A"/>
    <w:rsid w:val="004149AF"/>
    <w:rsid w:val="00415362"/>
    <w:rsid w:val="00415A87"/>
    <w:rsid w:val="00417208"/>
    <w:rsid w:val="0042075F"/>
    <w:rsid w:val="00421478"/>
    <w:rsid w:val="004221DE"/>
    <w:rsid w:val="004222AD"/>
    <w:rsid w:val="00422331"/>
    <w:rsid w:val="0042368D"/>
    <w:rsid w:val="00423824"/>
    <w:rsid w:val="0042636C"/>
    <w:rsid w:val="00435B6F"/>
    <w:rsid w:val="00435F4F"/>
    <w:rsid w:val="004366D4"/>
    <w:rsid w:val="00436CFD"/>
    <w:rsid w:val="00437284"/>
    <w:rsid w:val="00440054"/>
    <w:rsid w:val="0044091A"/>
    <w:rsid w:val="00441180"/>
    <w:rsid w:val="00441346"/>
    <w:rsid w:val="00441AAE"/>
    <w:rsid w:val="0044224A"/>
    <w:rsid w:val="0044255B"/>
    <w:rsid w:val="00444352"/>
    <w:rsid w:val="004460B6"/>
    <w:rsid w:val="00446406"/>
    <w:rsid w:val="00447910"/>
    <w:rsid w:val="00447C90"/>
    <w:rsid w:val="00447CE0"/>
    <w:rsid w:val="004516FD"/>
    <w:rsid w:val="0045288E"/>
    <w:rsid w:val="00452917"/>
    <w:rsid w:val="0046243B"/>
    <w:rsid w:val="00463980"/>
    <w:rsid w:val="004642A5"/>
    <w:rsid w:val="00467FF7"/>
    <w:rsid w:val="004715B9"/>
    <w:rsid w:val="00472476"/>
    <w:rsid w:val="004724D9"/>
    <w:rsid w:val="0047255F"/>
    <w:rsid w:val="0047331D"/>
    <w:rsid w:val="0047376E"/>
    <w:rsid w:val="00475229"/>
    <w:rsid w:val="00475AE2"/>
    <w:rsid w:val="0047641E"/>
    <w:rsid w:val="00476E9B"/>
    <w:rsid w:val="00476FD6"/>
    <w:rsid w:val="00480108"/>
    <w:rsid w:val="004805F8"/>
    <w:rsid w:val="00484487"/>
    <w:rsid w:val="004857B1"/>
    <w:rsid w:val="004857BC"/>
    <w:rsid w:val="00485A95"/>
    <w:rsid w:val="004903ED"/>
    <w:rsid w:val="00491099"/>
    <w:rsid w:val="0049335A"/>
    <w:rsid w:val="00493D1B"/>
    <w:rsid w:val="00495211"/>
    <w:rsid w:val="004960F2"/>
    <w:rsid w:val="004976DC"/>
    <w:rsid w:val="004A1F8F"/>
    <w:rsid w:val="004A2B58"/>
    <w:rsid w:val="004A2F4C"/>
    <w:rsid w:val="004A4BB0"/>
    <w:rsid w:val="004A5BF1"/>
    <w:rsid w:val="004A6C02"/>
    <w:rsid w:val="004A6C7D"/>
    <w:rsid w:val="004A7380"/>
    <w:rsid w:val="004A7938"/>
    <w:rsid w:val="004B1999"/>
    <w:rsid w:val="004B2E01"/>
    <w:rsid w:val="004B41B4"/>
    <w:rsid w:val="004B531D"/>
    <w:rsid w:val="004B5379"/>
    <w:rsid w:val="004B7829"/>
    <w:rsid w:val="004C065E"/>
    <w:rsid w:val="004C1B41"/>
    <w:rsid w:val="004C1CC7"/>
    <w:rsid w:val="004C3312"/>
    <w:rsid w:val="004C53F0"/>
    <w:rsid w:val="004C7013"/>
    <w:rsid w:val="004C7501"/>
    <w:rsid w:val="004D093B"/>
    <w:rsid w:val="004D0E48"/>
    <w:rsid w:val="004D19E2"/>
    <w:rsid w:val="004D3AD1"/>
    <w:rsid w:val="004D5225"/>
    <w:rsid w:val="004D56F6"/>
    <w:rsid w:val="004E0220"/>
    <w:rsid w:val="004E057F"/>
    <w:rsid w:val="004E2F51"/>
    <w:rsid w:val="004E32DD"/>
    <w:rsid w:val="004E7CD8"/>
    <w:rsid w:val="004F243F"/>
    <w:rsid w:val="004F25E8"/>
    <w:rsid w:val="004F36BD"/>
    <w:rsid w:val="004F40AB"/>
    <w:rsid w:val="004F5C64"/>
    <w:rsid w:val="004F5E24"/>
    <w:rsid w:val="004F75E9"/>
    <w:rsid w:val="004F777D"/>
    <w:rsid w:val="0050003B"/>
    <w:rsid w:val="0050291B"/>
    <w:rsid w:val="00502FB7"/>
    <w:rsid w:val="00503AA9"/>
    <w:rsid w:val="00503CC3"/>
    <w:rsid w:val="00504219"/>
    <w:rsid w:val="00505EB4"/>
    <w:rsid w:val="00506E63"/>
    <w:rsid w:val="00507202"/>
    <w:rsid w:val="0050756F"/>
    <w:rsid w:val="00510668"/>
    <w:rsid w:val="00510D6C"/>
    <w:rsid w:val="00511E5C"/>
    <w:rsid w:val="00512C31"/>
    <w:rsid w:val="00512C74"/>
    <w:rsid w:val="00512DE2"/>
    <w:rsid w:val="0051442A"/>
    <w:rsid w:val="00515A08"/>
    <w:rsid w:val="00516743"/>
    <w:rsid w:val="00516C10"/>
    <w:rsid w:val="00520CED"/>
    <w:rsid w:val="005221C2"/>
    <w:rsid w:val="00523299"/>
    <w:rsid w:val="005233A5"/>
    <w:rsid w:val="00526624"/>
    <w:rsid w:val="0052718F"/>
    <w:rsid w:val="00527439"/>
    <w:rsid w:val="005304A1"/>
    <w:rsid w:val="00530A9B"/>
    <w:rsid w:val="0053348C"/>
    <w:rsid w:val="00533DA0"/>
    <w:rsid w:val="00534CFD"/>
    <w:rsid w:val="00534E52"/>
    <w:rsid w:val="005360F5"/>
    <w:rsid w:val="005375CD"/>
    <w:rsid w:val="0053796A"/>
    <w:rsid w:val="005402AF"/>
    <w:rsid w:val="00541410"/>
    <w:rsid w:val="00542899"/>
    <w:rsid w:val="00544256"/>
    <w:rsid w:val="0054541F"/>
    <w:rsid w:val="00545F9E"/>
    <w:rsid w:val="005474FB"/>
    <w:rsid w:val="00547A5D"/>
    <w:rsid w:val="005501BC"/>
    <w:rsid w:val="00550CD0"/>
    <w:rsid w:val="0055115A"/>
    <w:rsid w:val="00551ECE"/>
    <w:rsid w:val="00552790"/>
    <w:rsid w:val="005531C5"/>
    <w:rsid w:val="005555BB"/>
    <w:rsid w:val="005566E8"/>
    <w:rsid w:val="00557216"/>
    <w:rsid w:val="005575A6"/>
    <w:rsid w:val="00557981"/>
    <w:rsid w:val="00557C14"/>
    <w:rsid w:val="00557D47"/>
    <w:rsid w:val="0056031E"/>
    <w:rsid w:val="005605DA"/>
    <w:rsid w:val="005608E2"/>
    <w:rsid w:val="00560F6D"/>
    <w:rsid w:val="0056343E"/>
    <w:rsid w:val="00564162"/>
    <w:rsid w:val="005661CA"/>
    <w:rsid w:val="00570066"/>
    <w:rsid w:val="00572DD6"/>
    <w:rsid w:val="00573250"/>
    <w:rsid w:val="00575421"/>
    <w:rsid w:val="00576458"/>
    <w:rsid w:val="005802BA"/>
    <w:rsid w:val="00581B39"/>
    <w:rsid w:val="005852A4"/>
    <w:rsid w:val="00585E7F"/>
    <w:rsid w:val="00586E14"/>
    <w:rsid w:val="005870B8"/>
    <w:rsid w:val="005905F8"/>
    <w:rsid w:val="00591C4E"/>
    <w:rsid w:val="005937C5"/>
    <w:rsid w:val="00593D1F"/>
    <w:rsid w:val="005955EB"/>
    <w:rsid w:val="005961AC"/>
    <w:rsid w:val="00597842"/>
    <w:rsid w:val="005A019C"/>
    <w:rsid w:val="005A16A2"/>
    <w:rsid w:val="005A17AD"/>
    <w:rsid w:val="005A329D"/>
    <w:rsid w:val="005A3C44"/>
    <w:rsid w:val="005A4993"/>
    <w:rsid w:val="005A4B8D"/>
    <w:rsid w:val="005A4C9F"/>
    <w:rsid w:val="005A6225"/>
    <w:rsid w:val="005B1889"/>
    <w:rsid w:val="005B407F"/>
    <w:rsid w:val="005B5A70"/>
    <w:rsid w:val="005B6FF1"/>
    <w:rsid w:val="005B78D6"/>
    <w:rsid w:val="005C02B5"/>
    <w:rsid w:val="005C17BE"/>
    <w:rsid w:val="005C2192"/>
    <w:rsid w:val="005C2DD7"/>
    <w:rsid w:val="005C4E60"/>
    <w:rsid w:val="005C4EBE"/>
    <w:rsid w:val="005C5968"/>
    <w:rsid w:val="005C6E27"/>
    <w:rsid w:val="005C7CD3"/>
    <w:rsid w:val="005D0051"/>
    <w:rsid w:val="005D1DA5"/>
    <w:rsid w:val="005D3DC5"/>
    <w:rsid w:val="005D7D46"/>
    <w:rsid w:val="005E10AA"/>
    <w:rsid w:val="005E117E"/>
    <w:rsid w:val="005E2059"/>
    <w:rsid w:val="005E64B3"/>
    <w:rsid w:val="005E77B6"/>
    <w:rsid w:val="005E77E2"/>
    <w:rsid w:val="005F0141"/>
    <w:rsid w:val="005F0259"/>
    <w:rsid w:val="005F3585"/>
    <w:rsid w:val="005F3C46"/>
    <w:rsid w:val="005F5FC6"/>
    <w:rsid w:val="005F63CC"/>
    <w:rsid w:val="005F73D5"/>
    <w:rsid w:val="00603B8C"/>
    <w:rsid w:val="0060771F"/>
    <w:rsid w:val="00611660"/>
    <w:rsid w:val="0061282A"/>
    <w:rsid w:val="0061296B"/>
    <w:rsid w:val="00613099"/>
    <w:rsid w:val="006151C2"/>
    <w:rsid w:val="00615271"/>
    <w:rsid w:val="00615EEA"/>
    <w:rsid w:val="0061793A"/>
    <w:rsid w:val="00621748"/>
    <w:rsid w:val="00621AF0"/>
    <w:rsid w:val="00622314"/>
    <w:rsid w:val="00622462"/>
    <w:rsid w:val="006226B5"/>
    <w:rsid w:val="006247C5"/>
    <w:rsid w:val="006248D1"/>
    <w:rsid w:val="0062497B"/>
    <w:rsid w:val="00625302"/>
    <w:rsid w:val="00625525"/>
    <w:rsid w:val="006258A3"/>
    <w:rsid w:val="0062647A"/>
    <w:rsid w:val="0062655A"/>
    <w:rsid w:val="00626E82"/>
    <w:rsid w:val="00635BE7"/>
    <w:rsid w:val="00635C0D"/>
    <w:rsid w:val="006379F8"/>
    <w:rsid w:val="00640921"/>
    <w:rsid w:val="00641F9F"/>
    <w:rsid w:val="00642839"/>
    <w:rsid w:val="0064449F"/>
    <w:rsid w:val="0064603C"/>
    <w:rsid w:val="00646423"/>
    <w:rsid w:val="0064654E"/>
    <w:rsid w:val="00647516"/>
    <w:rsid w:val="00647789"/>
    <w:rsid w:val="006518B1"/>
    <w:rsid w:val="006530AA"/>
    <w:rsid w:val="006545D7"/>
    <w:rsid w:val="00654EC9"/>
    <w:rsid w:val="0065651A"/>
    <w:rsid w:val="006600DF"/>
    <w:rsid w:val="0066024A"/>
    <w:rsid w:val="006607F0"/>
    <w:rsid w:val="00660A41"/>
    <w:rsid w:val="00660EB9"/>
    <w:rsid w:val="00661199"/>
    <w:rsid w:val="00661805"/>
    <w:rsid w:val="006653BC"/>
    <w:rsid w:val="00666ED8"/>
    <w:rsid w:val="006704F4"/>
    <w:rsid w:val="00671051"/>
    <w:rsid w:val="00672630"/>
    <w:rsid w:val="0067291B"/>
    <w:rsid w:val="00673521"/>
    <w:rsid w:val="00673C10"/>
    <w:rsid w:val="00674BC1"/>
    <w:rsid w:val="00675F09"/>
    <w:rsid w:val="00676226"/>
    <w:rsid w:val="00676F53"/>
    <w:rsid w:val="00680203"/>
    <w:rsid w:val="0068171E"/>
    <w:rsid w:val="00682057"/>
    <w:rsid w:val="006831C5"/>
    <w:rsid w:val="0068346D"/>
    <w:rsid w:val="006849B7"/>
    <w:rsid w:val="0068598B"/>
    <w:rsid w:val="0069026B"/>
    <w:rsid w:val="00690BA2"/>
    <w:rsid w:val="00692BCE"/>
    <w:rsid w:val="00693099"/>
    <w:rsid w:val="00693B05"/>
    <w:rsid w:val="006A2874"/>
    <w:rsid w:val="006A4CE3"/>
    <w:rsid w:val="006A7211"/>
    <w:rsid w:val="006B0E36"/>
    <w:rsid w:val="006B19FB"/>
    <w:rsid w:val="006B24CF"/>
    <w:rsid w:val="006B2AF0"/>
    <w:rsid w:val="006B3AC5"/>
    <w:rsid w:val="006B501C"/>
    <w:rsid w:val="006B572F"/>
    <w:rsid w:val="006B76C9"/>
    <w:rsid w:val="006C0A7A"/>
    <w:rsid w:val="006C19D8"/>
    <w:rsid w:val="006C1B88"/>
    <w:rsid w:val="006D160A"/>
    <w:rsid w:val="006D1D90"/>
    <w:rsid w:val="006D1DDB"/>
    <w:rsid w:val="006D5AE5"/>
    <w:rsid w:val="006D6431"/>
    <w:rsid w:val="006D769A"/>
    <w:rsid w:val="006E3E64"/>
    <w:rsid w:val="006E47B2"/>
    <w:rsid w:val="006E5122"/>
    <w:rsid w:val="006E65EA"/>
    <w:rsid w:val="006E793C"/>
    <w:rsid w:val="006F0282"/>
    <w:rsid w:val="006F3BF4"/>
    <w:rsid w:val="006F42F1"/>
    <w:rsid w:val="006F47CA"/>
    <w:rsid w:val="006F489F"/>
    <w:rsid w:val="006F5E20"/>
    <w:rsid w:val="006F6292"/>
    <w:rsid w:val="006F76D3"/>
    <w:rsid w:val="006F7F23"/>
    <w:rsid w:val="006F7FDB"/>
    <w:rsid w:val="00701722"/>
    <w:rsid w:val="00701DF2"/>
    <w:rsid w:val="00701F42"/>
    <w:rsid w:val="007039FF"/>
    <w:rsid w:val="007053BE"/>
    <w:rsid w:val="00706433"/>
    <w:rsid w:val="00706DB4"/>
    <w:rsid w:val="00706F49"/>
    <w:rsid w:val="0071096A"/>
    <w:rsid w:val="00710ADE"/>
    <w:rsid w:val="007110D8"/>
    <w:rsid w:val="007118BC"/>
    <w:rsid w:val="00713D4F"/>
    <w:rsid w:val="00713E26"/>
    <w:rsid w:val="00714E3A"/>
    <w:rsid w:val="00715885"/>
    <w:rsid w:val="00715DC4"/>
    <w:rsid w:val="007166FE"/>
    <w:rsid w:val="00716730"/>
    <w:rsid w:val="007208C7"/>
    <w:rsid w:val="007216CC"/>
    <w:rsid w:val="00721DF0"/>
    <w:rsid w:val="00724C44"/>
    <w:rsid w:val="00724F0D"/>
    <w:rsid w:val="00725D06"/>
    <w:rsid w:val="0072657C"/>
    <w:rsid w:val="007311BF"/>
    <w:rsid w:val="00731949"/>
    <w:rsid w:val="00732160"/>
    <w:rsid w:val="007367F1"/>
    <w:rsid w:val="00737A54"/>
    <w:rsid w:val="00740752"/>
    <w:rsid w:val="0074156E"/>
    <w:rsid w:val="00741794"/>
    <w:rsid w:val="0074472A"/>
    <w:rsid w:val="007456CB"/>
    <w:rsid w:val="007464E0"/>
    <w:rsid w:val="007469D3"/>
    <w:rsid w:val="00747053"/>
    <w:rsid w:val="0075021E"/>
    <w:rsid w:val="007503D8"/>
    <w:rsid w:val="00751804"/>
    <w:rsid w:val="00751D04"/>
    <w:rsid w:val="00751D8E"/>
    <w:rsid w:val="00753C26"/>
    <w:rsid w:val="00754C91"/>
    <w:rsid w:val="007551B6"/>
    <w:rsid w:val="007555E7"/>
    <w:rsid w:val="007555E8"/>
    <w:rsid w:val="00755ABC"/>
    <w:rsid w:val="00760710"/>
    <w:rsid w:val="007642BA"/>
    <w:rsid w:val="00771C56"/>
    <w:rsid w:val="00772112"/>
    <w:rsid w:val="00773916"/>
    <w:rsid w:val="00773A47"/>
    <w:rsid w:val="007741F3"/>
    <w:rsid w:val="007766AF"/>
    <w:rsid w:val="0078043C"/>
    <w:rsid w:val="00782471"/>
    <w:rsid w:val="00782FA0"/>
    <w:rsid w:val="00785C9A"/>
    <w:rsid w:val="007863FD"/>
    <w:rsid w:val="007873FD"/>
    <w:rsid w:val="00787C7F"/>
    <w:rsid w:val="00787D62"/>
    <w:rsid w:val="00787F52"/>
    <w:rsid w:val="00791916"/>
    <w:rsid w:val="007929D0"/>
    <w:rsid w:val="00792B09"/>
    <w:rsid w:val="00792FD8"/>
    <w:rsid w:val="00794C67"/>
    <w:rsid w:val="00795BB0"/>
    <w:rsid w:val="00796139"/>
    <w:rsid w:val="0079790A"/>
    <w:rsid w:val="007A045C"/>
    <w:rsid w:val="007A074B"/>
    <w:rsid w:val="007A2308"/>
    <w:rsid w:val="007A27A4"/>
    <w:rsid w:val="007A28EB"/>
    <w:rsid w:val="007A2E11"/>
    <w:rsid w:val="007A53C1"/>
    <w:rsid w:val="007A78BC"/>
    <w:rsid w:val="007B1004"/>
    <w:rsid w:val="007B2494"/>
    <w:rsid w:val="007B2BC2"/>
    <w:rsid w:val="007B4DCC"/>
    <w:rsid w:val="007B5736"/>
    <w:rsid w:val="007B597F"/>
    <w:rsid w:val="007B5F32"/>
    <w:rsid w:val="007C0501"/>
    <w:rsid w:val="007C4F21"/>
    <w:rsid w:val="007C4F80"/>
    <w:rsid w:val="007C630D"/>
    <w:rsid w:val="007C7755"/>
    <w:rsid w:val="007D0B8C"/>
    <w:rsid w:val="007D0DD8"/>
    <w:rsid w:val="007D1EEB"/>
    <w:rsid w:val="007D20E4"/>
    <w:rsid w:val="007D3615"/>
    <w:rsid w:val="007D563B"/>
    <w:rsid w:val="007D5F8C"/>
    <w:rsid w:val="007D6BA0"/>
    <w:rsid w:val="007D79DD"/>
    <w:rsid w:val="007E055D"/>
    <w:rsid w:val="007E151E"/>
    <w:rsid w:val="007E1DC9"/>
    <w:rsid w:val="007E4D50"/>
    <w:rsid w:val="007E541E"/>
    <w:rsid w:val="007E5A00"/>
    <w:rsid w:val="007E73F1"/>
    <w:rsid w:val="007E7C8D"/>
    <w:rsid w:val="007F0F9F"/>
    <w:rsid w:val="007F197F"/>
    <w:rsid w:val="007F1B5B"/>
    <w:rsid w:val="007F4228"/>
    <w:rsid w:val="007F4489"/>
    <w:rsid w:val="007F51B5"/>
    <w:rsid w:val="007F5D06"/>
    <w:rsid w:val="007F6B5E"/>
    <w:rsid w:val="007F741E"/>
    <w:rsid w:val="007F7473"/>
    <w:rsid w:val="007F7A3F"/>
    <w:rsid w:val="0080038F"/>
    <w:rsid w:val="00801B20"/>
    <w:rsid w:val="008044C1"/>
    <w:rsid w:val="00805146"/>
    <w:rsid w:val="00805811"/>
    <w:rsid w:val="00807959"/>
    <w:rsid w:val="008079AA"/>
    <w:rsid w:val="008109AA"/>
    <w:rsid w:val="008111AC"/>
    <w:rsid w:val="00811819"/>
    <w:rsid w:val="00811BDE"/>
    <w:rsid w:val="00813B54"/>
    <w:rsid w:val="00814D29"/>
    <w:rsid w:val="00815232"/>
    <w:rsid w:val="00815835"/>
    <w:rsid w:val="008163FE"/>
    <w:rsid w:val="00816E8E"/>
    <w:rsid w:val="008170E6"/>
    <w:rsid w:val="008174B9"/>
    <w:rsid w:val="008214B8"/>
    <w:rsid w:val="008225C5"/>
    <w:rsid w:val="00825BAD"/>
    <w:rsid w:val="00825C74"/>
    <w:rsid w:val="00830AA4"/>
    <w:rsid w:val="00830AE5"/>
    <w:rsid w:val="00832F68"/>
    <w:rsid w:val="0083351F"/>
    <w:rsid w:val="00833F4B"/>
    <w:rsid w:val="008355A5"/>
    <w:rsid w:val="008366C0"/>
    <w:rsid w:val="00836B7C"/>
    <w:rsid w:val="00836E69"/>
    <w:rsid w:val="008409D6"/>
    <w:rsid w:val="008426B8"/>
    <w:rsid w:val="008427A2"/>
    <w:rsid w:val="00842A5F"/>
    <w:rsid w:val="008435D0"/>
    <w:rsid w:val="00844259"/>
    <w:rsid w:val="00847383"/>
    <w:rsid w:val="008501FE"/>
    <w:rsid w:val="00850A45"/>
    <w:rsid w:val="00850CF9"/>
    <w:rsid w:val="008519AC"/>
    <w:rsid w:val="00853732"/>
    <w:rsid w:val="0085430B"/>
    <w:rsid w:val="0085448C"/>
    <w:rsid w:val="00854629"/>
    <w:rsid w:val="00854DBB"/>
    <w:rsid w:val="008557BF"/>
    <w:rsid w:val="00856AD8"/>
    <w:rsid w:val="0085781B"/>
    <w:rsid w:val="00857B1E"/>
    <w:rsid w:val="00857BDB"/>
    <w:rsid w:val="008606E2"/>
    <w:rsid w:val="0086114E"/>
    <w:rsid w:val="008635C1"/>
    <w:rsid w:val="008645CB"/>
    <w:rsid w:val="00864E2A"/>
    <w:rsid w:val="0087264A"/>
    <w:rsid w:val="00872D07"/>
    <w:rsid w:val="00873152"/>
    <w:rsid w:val="00874C37"/>
    <w:rsid w:val="0087525D"/>
    <w:rsid w:val="00875CE4"/>
    <w:rsid w:val="00876D59"/>
    <w:rsid w:val="008773C6"/>
    <w:rsid w:val="00877F9F"/>
    <w:rsid w:val="00880528"/>
    <w:rsid w:val="008812AC"/>
    <w:rsid w:val="00881E4E"/>
    <w:rsid w:val="008820DB"/>
    <w:rsid w:val="008829D9"/>
    <w:rsid w:val="00882F4A"/>
    <w:rsid w:val="00884CE2"/>
    <w:rsid w:val="00885A61"/>
    <w:rsid w:val="008867F5"/>
    <w:rsid w:val="008873A1"/>
    <w:rsid w:val="008907B5"/>
    <w:rsid w:val="00891346"/>
    <w:rsid w:val="00891D51"/>
    <w:rsid w:val="00894BF4"/>
    <w:rsid w:val="008968AC"/>
    <w:rsid w:val="00896CC2"/>
    <w:rsid w:val="008977BC"/>
    <w:rsid w:val="008A14DF"/>
    <w:rsid w:val="008A3002"/>
    <w:rsid w:val="008A31C3"/>
    <w:rsid w:val="008A3413"/>
    <w:rsid w:val="008A53EA"/>
    <w:rsid w:val="008A58FE"/>
    <w:rsid w:val="008A795A"/>
    <w:rsid w:val="008B0D4C"/>
    <w:rsid w:val="008B3AE4"/>
    <w:rsid w:val="008B3EA4"/>
    <w:rsid w:val="008B5F60"/>
    <w:rsid w:val="008B6E32"/>
    <w:rsid w:val="008C2FC8"/>
    <w:rsid w:val="008C3817"/>
    <w:rsid w:val="008C3B7D"/>
    <w:rsid w:val="008C4339"/>
    <w:rsid w:val="008C58FE"/>
    <w:rsid w:val="008C6704"/>
    <w:rsid w:val="008C7538"/>
    <w:rsid w:val="008D16C1"/>
    <w:rsid w:val="008D1A36"/>
    <w:rsid w:val="008D1FF0"/>
    <w:rsid w:val="008D45CF"/>
    <w:rsid w:val="008D6257"/>
    <w:rsid w:val="008D68DF"/>
    <w:rsid w:val="008D6B64"/>
    <w:rsid w:val="008D752B"/>
    <w:rsid w:val="008E0D8C"/>
    <w:rsid w:val="008E2352"/>
    <w:rsid w:val="008E2EA1"/>
    <w:rsid w:val="008E31F4"/>
    <w:rsid w:val="008E3C99"/>
    <w:rsid w:val="008E3CAD"/>
    <w:rsid w:val="008E53BA"/>
    <w:rsid w:val="008E5715"/>
    <w:rsid w:val="008E57C9"/>
    <w:rsid w:val="008E5B9A"/>
    <w:rsid w:val="008E7059"/>
    <w:rsid w:val="008F00FA"/>
    <w:rsid w:val="008F0BD7"/>
    <w:rsid w:val="008F1CD2"/>
    <w:rsid w:val="008F21FE"/>
    <w:rsid w:val="008F22A1"/>
    <w:rsid w:val="008F40E6"/>
    <w:rsid w:val="008F4C2C"/>
    <w:rsid w:val="008F5151"/>
    <w:rsid w:val="008F5194"/>
    <w:rsid w:val="008F5559"/>
    <w:rsid w:val="008F6E38"/>
    <w:rsid w:val="00900CB2"/>
    <w:rsid w:val="00902751"/>
    <w:rsid w:val="00903203"/>
    <w:rsid w:val="0090324B"/>
    <w:rsid w:val="009058FD"/>
    <w:rsid w:val="00905C02"/>
    <w:rsid w:val="0091086C"/>
    <w:rsid w:val="0091181F"/>
    <w:rsid w:val="00913B11"/>
    <w:rsid w:val="00915EB7"/>
    <w:rsid w:val="00916CA2"/>
    <w:rsid w:val="009170E7"/>
    <w:rsid w:val="00917B89"/>
    <w:rsid w:val="00920079"/>
    <w:rsid w:val="00927D4D"/>
    <w:rsid w:val="00930004"/>
    <w:rsid w:val="009301EB"/>
    <w:rsid w:val="0093270D"/>
    <w:rsid w:val="009337BB"/>
    <w:rsid w:val="00934322"/>
    <w:rsid w:val="00934F3E"/>
    <w:rsid w:val="00934F47"/>
    <w:rsid w:val="0093589F"/>
    <w:rsid w:val="009358DA"/>
    <w:rsid w:val="00935E3A"/>
    <w:rsid w:val="0093682B"/>
    <w:rsid w:val="00936A4E"/>
    <w:rsid w:val="0094125A"/>
    <w:rsid w:val="009413B1"/>
    <w:rsid w:val="009446BD"/>
    <w:rsid w:val="00945D19"/>
    <w:rsid w:val="00946B06"/>
    <w:rsid w:val="00947633"/>
    <w:rsid w:val="00950E9F"/>
    <w:rsid w:val="009517A1"/>
    <w:rsid w:val="00953C4C"/>
    <w:rsid w:val="00953F8B"/>
    <w:rsid w:val="009543E2"/>
    <w:rsid w:val="00954B10"/>
    <w:rsid w:val="00955055"/>
    <w:rsid w:val="009552AE"/>
    <w:rsid w:val="00955717"/>
    <w:rsid w:val="009577DC"/>
    <w:rsid w:val="00957A20"/>
    <w:rsid w:val="009609EF"/>
    <w:rsid w:val="00960D0B"/>
    <w:rsid w:val="00960FAE"/>
    <w:rsid w:val="009621FC"/>
    <w:rsid w:val="00963F48"/>
    <w:rsid w:val="009663C4"/>
    <w:rsid w:val="009700F1"/>
    <w:rsid w:val="009716A6"/>
    <w:rsid w:val="00973AA3"/>
    <w:rsid w:val="00973D7B"/>
    <w:rsid w:val="00975270"/>
    <w:rsid w:val="00975D5E"/>
    <w:rsid w:val="00975E4B"/>
    <w:rsid w:val="009806B0"/>
    <w:rsid w:val="0098317F"/>
    <w:rsid w:val="009841E5"/>
    <w:rsid w:val="00986128"/>
    <w:rsid w:val="009869A7"/>
    <w:rsid w:val="00986D44"/>
    <w:rsid w:val="009878F1"/>
    <w:rsid w:val="00990004"/>
    <w:rsid w:val="0099085B"/>
    <w:rsid w:val="00990A1C"/>
    <w:rsid w:val="0099338D"/>
    <w:rsid w:val="00997573"/>
    <w:rsid w:val="009978CC"/>
    <w:rsid w:val="009A0EA0"/>
    <w:rsid w:val="009A11A9"/>
    <w:rsid w:val="009A3137"/>
    <w:rsid w:val="009A330A"/>
    <w:rsid w:val="009A532D"/>
    <w:rsid w:val="009A559A"/>
    <w:rsid w:val="009A7784"/>
    <w:rsid w:val="009B1830"/>
    <w:rsid w:val="009B4545"/>
    <w:rsid w:val="009B4C01"/>
    <w:rsid w:val="009B5389"/>
    <w:rsid w:val="009B548E"/>
    <w:rsid w:val="009B63C2"/>
    <w:rsid w:val="009B65F6"/>
    <w:rsid w:val="009B7AF1"/>
    <w:rsid w:val="009C09B2"/>
    <w:rsid w:val="009C0FAD"/>
    <w:rsid w:val="009C1B53"/>
    <w:rsid w:val="009C61C7"/>
    <w:rsid w:val="009C64E2"/>
    <w:rsid w:val="009C69CA"/>
    <w:rsid w:val="009C6F54"/>
    <w:rsid w:val="009C7734"/>
    <w:rsid w:val="009D01EF"/>
    <w:rsid w:val="009D5492"/>
    <w:rsid w:val="009D5D34"/>
    <w:rsid w:val="009D66BC"/>
    <w:rsid w:val="009D7031"/>
    <w:rsid w:val="009E1DAD"/>
    <w:rsid w:val="009E2531"/>
    <w:rsid w:val="009E2B7E"/>
    <w:rsid w:val="009E4061"/>
    <w:rsid w:val="009E473E"/>
    <w:rsid w:val="009E66B9"/>
    <w:rsid w:val="009E69FB"/>
    <w:rsid w:val="009E760F"/>
    <w:rsid w:val="009E763D"/>
    <w:rsid w:val="009F0077"/>
    <w:rsid w:val="009F0C57"/>
    <w:rsid w:val="009F128D"/>
    <w:rsid w:val="009F2254"/>
    <w:rsid w:val="009F339A"/>
    <w:rsid w:val="009F78B9"/>
    <w:rsid w:val="00A008DA"/>
    <w:rsid w:val="00A021CB"/>
    <w:rsid w:val="00A05346"/>
    <w:rsid w:val="00A05EDC"/>
    <w:rsid w:val="00A10EE3"/>
    <w:rsid w:val="00A1117F"/>
    <w:rsid w:val="00A13C13"/>
    <w:rsid w:val="00A155E2"/>
    <w:rsid w:val="00A20846"/>
    <w:rsid w:val="00A20DDC"/>
    <w:rsid w:val="00A224E3"/>
    <w:rsid w:val="00A2264F"/>
    <w:rsid w:val="00A24302"/>
    <w:rsid w:val="00A24BA9"/>
    <w:rsid w:val="00A301B5"/>
    <w:rsid w:val="00A3222F"/>
    <w:rsid w:val="00A33897"/>
    <w:rsid w:val="00A346A6"/>
    <w:rsid w:val="00A346CF"/>
    <w:rsid w:val="00A34D83"/>
    <w:rsid w:val="00A36E85"/>
    <w:rsid w:val="00A37032"/>
    <w:rsid w:val="00A3755D"/>
    <w:rsid w:val="00A407EA"/>
    <w:rsid w:val="00A41665"/>
    <w:rsid w:val="00A4217A"/>
    <w:rsid w:val="00A439DE"/>
    <w:rsid w:val="00A44724"/>
    <w:rsid w:val="00A45124"/>
    <w:rsid w:val="00A46062"/>
    <w:rsid w:val="00A46A22"/>
    <w:rsid w:val="00A500D4"/>
    <w:rsid w:val="00A507E1"/>
    <w:rsid w:val="00A5231D"/>
    <w:rsid w:val="00A523A7"/>
    <w:rsid w:val="00A53343"/>
    <w:rsid w:val="00A53735"/>
    <w:rsid w:val="00A53ABA"/>
    <w:rsid w:val="00A55FC1"/>
    <w:rsid w:val="00A60AF0"/>
    <w:rsid w:val="00A60C79"/>
    <w:rsid w:val="00A60F63"/>
    <w:rsid w:val="00A61E7B"/>
    <w:rsid w:val="00A649D4"/>
    <w:rsid w:val="00A66F1A"/>
    <w:rsid w:val="00A6727F"/>
    <w:rsid w:val="00A678B1"/>
    <w:rsid w:val="00A6795C"/>
    <w:rsid w:val="00A71E0B"/>
    <w:rsid w:val="00A7333C"/>
    <w:rsid w:val="00A75023"/>
    <w:rsid w:val="00A75EF0"/>
    <w:rsid w:val="00A7739B"/>
    <w:rsid w:val="00A778EF"/>
    <w:rsid w:val="00A80A75"/>
    <w:rsid w:val="00A80CF4"/>
    <w:rsid w:val="00A815A6"/>
    <w:rsid w:val="00A8194A"/>
    <w:rsid w:val="00A81D26"/>
    <w:rsid w:val="00A8297B"/>
    <w:rsid w:val="00A8351C"/>
    <w:rsid w:val="00A83F95"/>
    <w:rsid w:val="00A845EF"/>
    <w:rsid w:val="00A8520F"/>
    <w:rsid w:val="00A855A6"/>
    <w:rsid w:val="00A86D72"/>
    <w:rsid w:val="00A86D79"/>
    <w:rsid w:val="00A86DB5"/>
    <w:rsid w:val="00A915DF"/>
    <w:rsid w:val="00A92E1A"/>
    <w:rsid w:val="00A93C86"/>
    <w:rsid w:val="00A9614B"/>
    <w:rsid w:val="00A974B0"/>
    <w:rsid w:val="00AA2432"/>
    <w:rsid w:val="00AA3079"/>
    <w:rsid w:val="00AA3816"/>
    <w:rsid w:val="00AA3D3C"/>
    <w:rsid w:val="00AA510D"/>
    <w:rsid w:val="00AA5EAB"/>
    <w:rsid w:val="00AA6A9E"/>
    <w:rsid w:val="00AA7A79"/>
    <w:rsid w:val="00AB3400"/>
    <w:rsid w:val="00AB3F06"/>
    <w:rsid w:val="00AB4E4D"/>
    <w:rsid w:val="00AB7829"/>
    <w:rsid w:val="00AC1B69"/>
    <w:rsid w:val="00AC1DC3"/>
    <w:rsid w:val="00AC2358"/>
    <w:rsid w:val="00AC28E7"/>
    <w:rsid w:val="00AC2C39"/>
    <w:rsid w:val="00AC371F"/>
    <w:rsid w:val="00AC3EBD"/>
    <w:rsid w:val="00AC676A"/>
    <w:rsid w:val="00AD0C12"/>
    <w:rsid w:val="00AD1303"/>
    <w:rsid w:val="00AD2A02"/>
    <w:rsid w:val="00AD6097"/>
    <w:rsid w:val="00AE0B41"/>
    <w:rsid w:val="00AE7599"/>
    <w:rsid w:val="00AF0924"/>
    <w:rsid w:val="00AF0F02"/>
    <w:rsid w:val="00AF2887"/>
    <w:rsid w:val="00AF3943"/>
    <w:rsid w:val="00AF4F42"/>
    <w:rsid w:val="00AF57EA"/>
    <w:rsid w:val="00AF6F92"/>
    <w:rsid w:val="00AF7258"/>
    <w:rsid w:val="00AF7789"/>
    <w:rsid w:val="00AF7B3B"/>
    <w:rsid w:val="00AF7E34"/>
    <w:rsid w:val="00AF7FCE"/>
    <w:rsid w:val="00B03818"/>
    <w:rsid w:val="00B03BF6"/>
    <w:rsid w:val="00B03FDA"/>
    <w:rsid w:val="00B04CA9"/>
    <w:rsid w:val="00B0534C"/>
    <w:rsid w:val="00B05DC8"/>
    <w:rsid w:val="00B06CB0"/>
    <w:rsid w:val="00B074BD"/>
    <w:rsid w:val="00B07B2D"/>
    <w:rsid w:val="00B11416"/>
    <w:rsid w:val="00B115EC"/>
    <w:rsid w:val="00B13DD3"/>
    <w:rsid w:val="00B1680C"/>
    <w:rsid w:val="00B16CB1"/>
    <w:rsid w:val="00B222E3"/>
    <w:rsid w:val="00B227BB"/>
    <w:rsid w:val="00B228F1"/>
    <w:rsid w:val="00B23973"/>
    <w:rsid w:val="00B2401A"/>
    <w:rsid w:val="00B26028"/>
    <w:rsid w:val="00B30FB4"/>
    <w:rsid w:val="00B3150B"/>
    <w:rsid w:val="00B3239C"/>
    <w:rsid w:val="00B3344A"/>
    <w:rsid w:val="00B355EA"/>
    <w:rsid w:val="00B35C47"/>
    <w:rsid w:val="00B361BB"/>
    <w:rsid w:val="00B36FA4"/>
    <w:rsid w:val="00B36FD3"/>
    <w:rsid w:val="00B40202"/>
    <w:rsid w:val="00B42670"/>
    <w:rsid w:val="00B442D0"/>
    <w:rsid w:val="00B46B6D"/>
    <w:rsid w:val="00B46F8B"/>
    <w:rsid w:val="00B50312"/>
    <w:rsid w:val="00B53141"/>
    <w:rsid w:val="00B560B6"/>
    <w:rsid w:val="00B56589"/>
    <w:rsid w:val="00B5732E"/>
    <w:rsid w:val="00B60F07"/>
    <w:rsid w:val="00B6212C"/>
    <w:rsid w:val="00B62FC4"/>
    <w:rsid w:val="00B63C13"/>
    <w:rsid w:val="00B63CC1"/>
    <w:rsid w:val="00B6416B"/>
    <w:rsid w:val="00B6509C"/>
    <w:rsid w:val="00B6675E"/>
    <w:rsid w:val="00B66935"/>
    <w:rsid w:val="00B672D5"/>
    <w:rsid w:val="00B714A0"/>
    <w:rsid w:val="00B7220E"/>
    <w:rsid w:val="00B73974"/>
    <w:rsid w:val="00B745E5"/>
    <w:rsid w:val="00B763A8"/>
    <w:rsid w:val="00B76772"/>
    <w:rsid w:val="00B77150"/>
    <w:rsid w:val="00B774FB"/>
    <w:rsid w:val="00B77E70"/>
    <w:rsid w:val="00B80429"/>
    <w:rsid w:val="00B80909"/>
    <w:rsid w:val="00B814FA"/>
    <w:rsid w:val="00B81747"/>
    <w:rsid w:val="00B81C0A"/>
    <w:rsid w:val="00B82F19"/>
    <w:rsid w:val="00B83F31"/>
    <w:rsid w:val="00B84373"/>
    <w:rsid w:val="00B85637"/>
    <w:rsid w:val="00B86CD1"/>
    <w:rsid w:val="00B903E2"/>
    <w:rsid w:val="00B90568"/>
    <w:rsid w:val="00B91518"/>
    <w:rsid w:val="00B91EB9"/>
    <w:rsid w:val="00B92ABC"/>
    <w:rsid w:val="00B954E8"/>
    <w:rsid w:val="00B963FC"/>
    <w:rsid w:val="00B97287"/>
    <w:rsid w:val="00BA0BE3"/>
    <w:rsid w:val="00BA1911"/>
    <w:rsid w:val="00BA5059"/>
    <w:rsid w:val="00BA5BE8"/>
    <w:rsid w:val="00BA6742"/>
    <w:rsid w:val="00BA7281"/>
    <w:rsid w:val="00BB1CC5"/>
    <w:rsid w:val="00BB2595"/>
    <w:rsid w:val="00BB32D8"/>
    <w:rsid w:val="00BB4328"/>
    <w:rsid w:val="00BB55C5"/>
    <w:rsid w:val="00BB5DE3"/>
    <w:rsid w:val="00BB64D0"/>
    <w:rsid w:val="00BB700D"/>
    <w:rsid w:val="00BB7043"/>
    <w:rsid w:val="00BC21AA"/>
    <w:rsid w:val="00BC63CE"/>
    <w:rsid w:val="00BD03D2"/>
    <w:rsid w:val="00BD161F"/>
    <w:rsid w:val="00BD28E2"/>
    <w:rsid w:val="00BD3380"/>
    <w:rsid w:val="00BD3F44"/>
    <w:rsid w:val="00BD40EF"/>
    <w:rsid w:val="00BD5900"/>
    <w:rsid w:val="00BD6F94"/>
    <w:rsid w:val="00BD78E2"/>
    <w:rsid w:val="00BD7EAD"/>
    <w:rsid w:val="00BE1322"/>
    <w:rsid w:val="00BE1985"/>
    <w:rsid w:val="00BE7083"/>
    <w:rsid w:val="00BF0522"/>
    <w:rsid w:val="00BF1A6B"/>
    <w:rsid w:val="00BF1CD2"/>
    <w:rsid w:val="00BF2FBA"/>
    <w:rsid w:val="00BF3C39"/>
    <w:rsid w:val="00BF5087"/>
    <w:rsid w:val="00BF55EC"/>
    <w:rsid w:val="00BF5882"/>
    <w:rsid w:val="00BF58B0"/>
    <w:rsid w:val="00C000D9"/>
    <w:rsid w:val="00C00212"/>
    <w:rsid w:val="00C00376"/>
    <w:rsid w:val="00C03595"/>
    <w:rsid w:val="00C0579F"/>
    <w:rsid w:val="00C07316"/>
    <w:rsid w:val="00C07404"/>
    <w:rsid w:val="00C07A15"/>
    <w:rsid w:val="00C10675"/>
    <w:rsid w:val="00C109C0"/>
    <w:rsid w:val="00C11BA1"/>
    <w:rsid w:val="00C124BB"/>
    <w:rsid w:val="00C15A5B"/>
    <w:rsid w:val="00C16A08"/>
    <w:rsid w:val="00C16C71"/>
    <w:rsid w:val="00C2009D"/>
    <w:rsid w:val="00C22E30"/>
    <w:rsid w:val="00C237B9"/>
    <w:rsid w:val="00C26022"/>
    <w:rsid w:val="00C31909"/>
    <w:rsid w:val="00C34EFE"/>
    <w:rsid w:val="00C3532C"/>
    <w:rsid w:val="00C373CC"/>
    <w:rsid w:val="00C3762F"/>
    <w:rsid w:val="00C41A23"/>
    <w:rsid w:val="00C450C0"/>
    <w:rsid w:val="00C45AF4"/>
    <w:rsid w:val="00C46A65"/>
    <w:rsid w:val="00C47FBA"/>
    <w:rsid w:val="00C51377"/>
    <w:rsid w:val="00C56488"/>
    <w:rsid w:val="00C5681A"/>
    <w:rsid w:val="00C57740"/>
    <w:rsid w:val="00C57AAE"/>
    <w:rsid w:val="00C622AB"/>
    <w:rsid w:val="00C624D6"/>
    <w:rsid w:val="00C62519"/>
    <w:rsid w:val="00C63571"/>
    <w:rsid w:val="00C63776"/>
    <w:rsid w:val="00C64724"/>
    <w:rsid w:val="00C65B2E"/>
    <w:rsid w:val="00C66678"/>
    <w:rsid w:val="00C670E3"/>
    <w:rsid w:val="00C67D67"/>
    <w:rsid w:val="00C70243"/>
    <w:rsid w:val="00C72D68"/>
    <w:rsid w:val="00C73B14"/>
    <w:rsid w:val="00C73B89"/>
    <w:rsid w:val="00C75322"/>
    <w:rsid w:val="00C768B4"/>
    <w:rsid w:val="00C77881"/>
    <w:rsid w:val="00C778CF"/>
    <w:rsid w:val="00C80868"/>
    <w:rsid w:val="00C80B29"/>
    <w:rsid w:val="00C80F77"/>
    <w:rsid w:val="00C841F4"/>
    <w:rsid w:val="00C856A9"/>
    <w:rsid w:val="00C86F70"/>
    <w:rsid w:val="00C90901"/>
    <w:rsid w:val="00C90F99"/>
    <w:rsid w:val="00C91385"/>
    <w:rsid w:val="00C9190A"/>
    <w:rsid w:val="00C926B2"/>
    <w:rsid w:val="00C94791"/>
    <w:rsid w:val="00C94F3F"/>
    <w:rsid w:val="00C95D10"/>
    <w:rsid w:val="00CA096E"/>
    <w:rsid w:val="00CA0CCF"/>
    <w:rsid w:val="00CA2783"/>
    <w:rsid w:val="00CA4E42"/>
    <w:rsid w:val="00CA5851"/>
    <w:rsid w:val="00CA6BFF"/>
    <w:rsid w:val="00CA7259"/>
    <w:rsid w:val="00CA76A8"/>
    <w:rsid w:val="00CB1804"/>
    <w:rsid w:val="00CB2A2C"/>
    <w:rsid w:val="00CB4BFC"/>
    <w:rsid w:val="00CB7807"/>
    <w:rsid w:val="00CB7DB9"/>
    <w:rsid w:val="00CC04A1"/>
    <w:rsid w:val="00CC1C64"/>
    <w:rsid w:val="00CC2082"/>
    <w:rsid w:val="00CC2135"/>
    <w:rsid w:val="00CC7F34"/>
    <w:rsid w:val="00CD0737"/>
    <w:rsid w:val="00CD295F"/>
    <w:rsid w:val="00CD2A91"/>
    <w:rsid w:val="00CD3CF6"/>
    <w:rsid w:val="00CD40B1"/>
    <w:rsid w:val="00CD7162"/>
    <w:rsid w:val="00CD7684"/>
    <w:rsid w:val="00CD7F28"/>
    <w:rsid w:val="00CE078F"/>
    <w:rsid w:val="00CE1AAD"/>
    <w:rsid w:val="00CE29FF"/>
    <w:rsid w:val="00CE2F2A"/>
    <w:rsid w:val="00CE2F7F"/>
    <w:rsid w:val="00CE3020"/>
    <w:rsid w:val="00CE3624"/>
    <w:rsid w:val="00CE59D5"/>
    <w:rsid w:val="00CE6204"/>
    <w:rsid w:val="00CE6FF5"/>
    <w:rsid w:val="00CF0782"/>
    <w:rsid w:val="00CF0A4E"/>
    <w:rsid w:val="00CF1A4B"/>
    <w:rsid w:val="00CF2497"/>
    <w:rsid w:val="00CF2999"/>
    <w:rsid w:val="00CF32EB"/>
    <w:rsid w:val="00CF3BBE"/>
    <w:rsid w:val="00CF53ED"/>
    <w:rsid w:val="00CF5F05"/>
    <w:rsid w:val="00CF602C"/>
    <w:rsid w:val="00CF7198"/>
    <w:rsid w:val="00CF79E2"/>
    <w:rsid w:val="00D02C26"/>
    <w:rsid w:val="00D02EAB"/>
    <w:rsid w:val="00D0398C"/>
    <w:rsid w:val="00D045D6"/>
    <w:rsid w:val="00D04D6E"/>
    <w:rsid w:val="00D0567E"/>
    <w:rsid w:val="00D061D6"/>
    <w:rsid w:val="00D06F65"/>
    <w:rsid w:val="00D112E9"/>
    <w:rsid w:val="00D1149F"/>
    <w:rsid w:val="00D12208"/>
    <w:rsid w:val="00D13BB9"/>
    <w:rsid w:val="00D14353"/>
    <w:rsid w:val="00D14530"/>
    <w:rsid w:val="00D14BAD"/>
    <w:rsid w:val="00D17DA1"/>
    <w:rsid w:val="00D2164E"/>
    <w:rsid w:val="00D24D84"/>
    <w:rsid w:val="00D24EF5"/>
    <w:rsid w:val="00D25CBA"/>
    <w:rsid w:val="00D26268"/>
    <w:rsid w:val="00D266E4"/>
    <w:rsid w:val="00D32C55"/>
    <w:rsid w:val="00D334EE"/>
    <w:rsid w:val="00D362C6"/>
    <w:rsid w:val="00D366D2"/>
    <w:rsid w:val="00D37D80"/>
    <w:rsid w:val="00D37E74"/>
    <w:rsid w:val="00D403FA"/>
    <w:rsid w:val="00D43441"/>
    <w:rsid w:val="00D4348E"/>
    <w:rsid w:val="00D43CB6"/>
    <w:rsid w:val="00D4566F"/>
    <w:rsid w:val="00D4567E"/>
    <w:rsid w:val="00D45881"/>
    <w:rsid w:val="00D50113"/>
    <w:rsid w:val="00D5033D"/>
    <w:rsid w:val="00D50BC9"/>
    <w:rsid w:val="00D521A5"/>
    <w:rsid w:val="00D526E4"/>
    <w:rsid w:val="00D53527"/>
    <w:rsid w:val="00D53EB8"/>
    <w:rsid w:val="00D552B6"/>
    <w:rsid w:val="00D56B2F"/>
    <w:rsid w:val="00D604CC"/>
    <w:rsid w:val="00D61F3F"/>
    <w:rsid w:val="00D62ED8"/>
    <w:rsid w:val="00D63EF2"/>
    <w:rsid w:val="00D64629"/>
    <w:rsid w:val="00D64810"/>
    <w:rsid w:val="00D6492A"/>
    <w:rsid w:val="00D66305"/>
    <w:rsid w:val="00D72418"/>
    <w:rsid w:val="00D73B53"/>
    <w:rsid w:val="00D73B90"/>
    <w:rsid w:val="00D748D2"/>
    <w:rsid w:val="00D7650B"/>
    <w:rsid w:val="00D7726C"/>
    <w:rsid w:val="00D774B4"/>
    <w:rsid w:val="00D77FC6"/>
    <w:rsid w:val="00D817C6"/>
    <w:rsid w:val="00D84886"/>
    <w:rsid w:val="00D86C8C"/>
    <w:rsid w:val="00D87B78"/>
    <w:rsid w:val="00D87F82"/>
    <w:rsid w:val="00D904C1"/>
    <w:rsid w:val="00D914B5"/>
    <w:rsid w:val="00D92FB2"/>
    <w:rsid w:val="00D936EC"/>
    <w:rsid w:val="00D93777"/>
    <w:rsid w:val="00D95F7D"/>
    <w:rsid w:val="00D96073"/>
    <w:rsid w:val="00D972BD"/>
    <w:rsid w:val="00DA0CA8"/>
    <w:rsid w:val="00DA29CC"/>
    <w:rsid w:val="00DA3FF1"/>
    <w:rsid w:val="00DA525D"/>
    <w:rsid w:val="00DB0AB7"/>
    <w:rsid w:val="00DB129C"/>
    <w:rsid w:val="00DB3D6B"/>
    <w:rsid w:val="00DB3DE2"/>
    <w:rsid w:val="00DB4D8A"/>
    <w:rsid w:val="00DB5785"/>
    <w:rsid w:val="00DB59D9"/>
    <w:rsid w:val="00DC0117"/>
    <w:rsid w:val="00DC1E27"/>
    <w:rsid w:val="00DC4DB8"/>
    <w:rsid w:val="00DC554D"/>
    <w:rsid w:val="00DC55FA"/>
    <w:rsid w:val="00DC6839"/>
    <w:rsid w:val="00DC6AED"/>
    <w:rsid w:val="00DD178B"/>
    <w:rsid w:val="00DD3349"/>
    <w:rsid w:val="00DD5A97"/>
    <w:rsid w:val="00DD5C3B"/>
    <w:rsid w:val="00DD752A"/>
    <w:rsid w:val="00DD75B4"/>
    <w:rsid w:val="00DE05BF"/>
    <w:rsid w:val="00DE0931"/>
    <w:rsid w:val="00DE123A"/>
    <w:rsid w:val="00DE1279"/>
    <w:rsid w:val="00DE179D"/>
    <w:rsid w:val="00DE2B21"/>
    <w:rsid w:val="00DE48E8"/>
    <w:rsid w:val="00DE4A80"/>
    <w:rsid w:val="00DE4E46"/>
    <w:rsid w:val="00DE60C9"/>
    <w:rsid w:val="00DE7504"/>
    <w:rsid w:val="00DE7CAB"/>
    <w:rsid w:val="00DF099A"/>
    <w:rsid w:val="00DF20BB"/>
    <w:rsid w:val="00DF23B6"/>
    <w:rsid w:val="00DF2E5A"/>
    <w:rsid w:val="00DF48E8"/>
    <w:rsid w:val="00E07045"/>
    <w:rsid w:val="00E07530"/>
    <w:rsid w:val="00E07D22"/>
    <w:rsid w:val="00E1456A"/>
    <w:rsid w:val="00E160A0"/>
    <w:rsid w:val="00E202FC"/>
    <w:rsid w:val="00E2051A"/>
    <w:rsid w:val="00E2112E"/>
    <w:rsid w:val="00E21C7D"/>
    <w:rsid w:val="00E22D82"/>
    <w:rsid w:val="00E22F9F"/>
    <w:rsid w:val="00E2322F"/>
    <w:rsid w:val="00E27F9E"/>
    <w:rsid w:val="00E30C13"/>
    <w:rsid w:val="00E341B6"/>
    <w:rsid w:val="00E34348"/>
    <w:rsid w:val="00E3448F"/>
    <w:rsid w:val="00E34640"/>
    <w:rsid w:val="00E35643"/>
    <w:rsid w:val="00E372C5"/>
    <w:rsid w:val="00E37811"/>
    <w:rsid w:val="00E407FE"/>
    <w:rsid w:val="00E4116E"/>
    <w:rsid w:val="00E42380"/>
    <w:rsid w:val="00E4288E"/>
    <w:rsid w:val="00E42AF5"/>
    <w:rsid w:val="00E44669"/>
    <w:rsid w:val="00E464FC"/>
    <w:rsid w:val="00E50EF6"/>
    <w:rsid w:val="00E53EEC"/>
    <w:rsid w:val="00E5410C"/>
    <w:rsid w:val="00E54693"/>
    <w:rsid w:val="00E54C45"/>
    <w:rsid w:val="00E5504C"/>
    <w:rsid w:val="00E5529D"/>
    <w:rsid w:val="00E55577"/>
    <w:rsid w:val="00E557AF"/>
    <w:rsid w:val="00E55E7D"/>
    <w:rsid w:val="00E5608C"/>
    <w:rsid w:val="00E60BB3"/>
    <w:rsid w:val="00E61B25"/>
    <w:rsid w:val="00E6554A"/>
    <w:rsid w:val="00E66EFD"/>
    <w:rsid w:val="00E71625"/>
    <w:rsid w:val="00E717F9"/>
    <w:rsid w:val="00E725F8"/>
    <w:rsid w:val="00E74ECD"/>
    <w:rsid w:val="00E75236"/>
    <w:rsid w:val="00E75AB3"/>
    <w:rsid w:val="00E7695E"/>
    <w:rsid w:val="00E80306"/>
    <w:rsid w:val="00E834CB"/>
    <w:rsid w:val="00E863D1"/>
    <w:rsid w:val="00E86CF9"/>
    <w:rsid w:val="00E9141E"/>
    <w:rsid w:val="00E92DA7"/>
    <w:rsid w:val="00E95734"/>
    <w:rsid w:val="00E9575B"/>
    <w:rsid w:val="00EA1CB0"/>
    <w:rsid w:val="00EA28DE"/>
    <w:rsid w:val="00EA62AA"/>
    <w:rsid w:val="00EA6735"/>
    <w:rsid w:val="00EA7804"/>
    <w:rsid w:val="00EA7F5B"/>
    <w:rsid w:val="00EB099F"/>
    <w:rsid w:val="00EB3063"/>
    <w:rsid w:val="00EB3394"/>
    <w:rsid w:val="00EB4200"/>
    <w:rsid w:val="00EB57BF"/>
    <w:rsid w:val="00EB5C1B"/>
    <w:rsid w:val="00EB71BD"/>
    <w:rsid w:val="00EB7395"/>
    <w:rsid w:val="00EC00EE"/>
    <w:rsid w:val="00EC0817"/>
    <w:rsid w:val="00EC1408"/>
    <w:rsid w:val="00EC6D6E"/>
    <w:rsid w:val="00EC7BA4"/>
    <w:rsid w:val="00ED0496"/>
    <w:rsid w:val="00ED1658"/>
    <w:rsid w:val="00ED1FE1"/>
    <w:rsid w:val="00ED2F3D"/>
    <w:rsid w:val="00ED4413"/>
    <w:rsid w:val="00ED4B8D"/>
    <w:rsid w:val="00EE3319"/>
    <w:rsid w:val="00EE4A93"/>
    <w:rsid w:val="00EE668B"/>
    <w:rsid w:val="00EF4449"/>
    <w:rsid w:val="00EF56CB"/>
    <w:rsid w:val="00EF5C8A"/>
    <w:rsid w:val="00EF632D"/>
    <w:rsid w:val="00EF7C00"/>
    <w:rsid w:val="00F01CE4"/>
    <w:rsid w:val="00F01FD6"/>
    <w:rsid w:val="00F035D5"/>
    <w:rsid w:val="00F06654"/>
    <w:rsid w:val="00F0778A"/>
    <w:rsid w:val="00F07A47"/>
    <w:rsid w:val="00F1238C"/>
    <w:rsid w:val="00F12583"/>
    <w:rsid w:val="00F1419C"/>
    <w:rsid w:val="00F17487"/>
    <w:rsid w:val="00F2117A"/>
    <w:rsid w:val="00F21805"/>
    <w:rsid w:val="00F240EC"/>
    <w:rsid w:val="00F24A77"/>
    <w:rsid w:val="00F2524C"/>
    <w:rsid w:val="00F26AF7"/>
    <w:rsid w:val="00F27BB2"/>
    <w:rsid w:val="00F27C0C"/>
    <w:rsid w:val="00F31277"/>
    <w:rsid w:val="00F335EF"/>
    <w:rsid w:val="00F337EB"/>
    <w:rsid w:val="00F35CD1"/>
    <w:rsid w:val="00F360B5"/>
    <w:rsid w:val="00F36798"/>
    <w:rsid w:val="00F368FC"/>
    <w:rsid w:val="00F36D60"/>
    <w:rsid w:val="00F37CFB"/>
    <w:rsid w:val="00F4173D"/>
    <w:rsid w:val="00F42676"/>
    <w:rsid w:val="00F43D8A"/>
    <w:rsid w:val="00F458A8"/>
    <w:rsid w:val="00F4654C"/>
    <w:rsid w:val="00F477D7"/>
    <w:rsid w:val="00F479FF"/>
    <w:rsid w:val="00F5254D"/>
    <w:rsid w:val="00F531F0"/>
    <w:rsid w:val="00F53FAB"/>
    <w:rsid w:val="00F5469E"/>
    <w:rsid w:val="00F55FB5"/>
    <w:rsid w:val="00F56173"/>
    <w:rsid w:val="00F57F40"/>
    <w:rsid w:val="00F6049F"/>
    <w:rsid w:val="00F609FA"/>
    <w:rsid w:val="00F60B20"/>
    <w:rsid w:val="00F64EDB"/>
    <w:rsid w:val="00F66D18"/>
    <w:rsid w:val="00F676E3"/>
    <w:rsid w:val="00F72D7A"/>
    <w:rsid w:val="00F73103"/>
    <w:rsid w:val="00F7388B"/>
    <w:rsid w:val="00F73C2B"/>
    <w:rsid w:val="00F73FED"/>
    <w:rsid w:val="00F7445A"/>
    <w:rsid w:val="00F75F54"/>
    <w:rsid w:val="00F76D9A"/>
    <w:rsid w:val="00F77451"/>
    <w:rsid w:val="00F80D0F"/>
    <w:rsid w:val="00F824AF"/>
    <w:rsid w:val="00F82F39"/>
    <w:rsid w:val="00F8472B"/>
    <w:rsid w:val="00F856A0"/>
    <w:rsid w:val="00F862AC"/>
    <w:rsid w:val="00F86985"/>
    <w:rsid w:val="00F86EB5"/>
    <w:rsid w:val="00F86FEB"/>
    <w:rsid w:val="00F87911"/>
    <w:rsid w:val="00F9127E"/>
    <w:rsid w:val="00F91C6B"/>
    <w:rsid w:val="00F9369E"/>
    <w:rsid w:val="00F94B3E"/>
    <w:rsid w:val="00FA015A"/>
    <w:rsid w:val="00FA07EB"/>
    <w:rsid w:val="00FA1C30"/>
    <w:rsid w:val="00FA306F"/>
    <w:rsid w:val="00FA4E29"/>
    <w:rsid w:val="00FA5AA2"/>
    <w:rsid w:val="00FA5AAD"/>
    <w:rsid w:val="00FA6B86"/>
    <w:rsid w:val="00FA7FFB"/>
    <w:rsid w:val="00FB09CC"/>
    <w:rsid w:val="00FB1730"/>
    <w:rsid w:val="00FB177A"/>
    <w:rsid w:val="00FB21AE"/>
    <w:rsid w:val="00FB26F8"/>
    <w:rsid w:val="00FB2FF6"/>
    <w:rsid w:val="00FB5253"/>
    <w:rsid w:val="00FB6689"/>
    <w:rsid w:val="00FB66CA"/>
    <w:rsid w:val="00FC05EE"/>
    <w:rsid w:val="00FC1294"/>
    <w:rsid w:val="00FC3527"/>
    <w:rsid w:val="00FC35EA"/>
    <w:rsid w:val="00FC3B3A"/>
    <w:rsid w:val="00FC559A"/>
    <w:rsid w:val="00FC6146"/>
    <w:rsid w:val="00FC691B"/>
    <w:rsid w:val="00FD08EA"/>
    <w:rsid w:val="00FD0BF5"/>
    <w:rsid w:val="00FD0D28"/>
    <w:rsid w:val="00FD24C5"/>
    <w:rsid w:val="00FD2648"/>
    <w:rsid w:val="00FD2A69"/>
    <w:rsid w:val="00FD2B43"/>
    <w:rsid w:val="00FD3E56"/>
    <w:rsid w:val="00FD6694"/>
    <w:rsid w:val="00FD744C"/>
    <w:rsid w:val="00FD7B81"/>
    <w:rsid w:val="00FE00EC"/>
    <w:rsid w:val="00FE0169"/>
    <w:rsid w:val="00FE1779"/>
    <w:rsid w:val="00FE1838"/>
    <w:rsid w:val="00FE2E21"/>
    <w:rsid w:val="00FE2FBC"/>
    <w:rsid w:val="00FE37E5"/>
    <w:rsid w:val="00FE5E7A"/>
    <w:rsid w:val="00FE7D2B"/>
    <w:rsid w:val="00FF1575"/>
    <w:rsid w:val="00FF1D85"/>
    <w:rsid w:val="00FF2175"/>
    <w:rsid w:val="00FF5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0A3BE"/>
  <w15:docId w15:val="{C681F4DD-C2A1-4865-99E7-64BF01E4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776"/>
    <w:pPr>
      <w:ind w:right="2835"/>
      <w:jc w:val="both"/>
    </w:pPr>
    <w:rPr>
      <w:rFonts w:ascii="Times New Roman" w:eastAsia="楷体" w:hAnsi="Times New Roman"/>
      <w:sz w:val="21"/>
    </w:rPr>
  </w:style>
  <w:style w:type="paragraph" w:styleId="1">
    <w:name w:val="heading 1"/>
    <w:basedOn w:val="a"/>
    <w:next w:val="a"/>
    <w:link w:val="10"/>
    <w:uiPriority w:val="9"/>
    <w:qFormat/>
    <w:rsid w:val="008F21FE"/>
    <w:pPr>
      <w:keepNext/>
      <w:keepLines/>
      <w:spacing w:before="480" w:after="0" w:line="360" w:lineRule="auto"/>
      <w:outlineLvl w:val="0"/>
    </w:pPr>
    <w:rPr>
      <w:rFonts w:cstheme="majorBidi"/>
      <w:b/>
      <w:bCs/>
      <w:sz w:val="40"/>
      <w:szCs w:val="28"/>
    </w:rPr>
  </w:style>
  <w:style w:type="paragraph" w:styleId="2">
    <w:name w:val="heading 2"/>
    <w:basedOn w:val="a"/>
    <w:next w:val="a"/>
    <w:link w:val="20"/>
    <w:uiPriority w:val="9"/>
    <w:unhideWhenUsed/>
    <w:qFormat/>
    <w:rsid w:val="005870B8"/>
    <w:pPr>
      <w:keepNext/>
      <w:keepLines/>
      <w:spacing w:after="0" w:line="360" w:lineRule="auto"/>
      <w:jc w:val="left"/>
      <w:outlineLvl w:val="1"/>
    </w:pPr>
    <w:rPr>
      <w:rFonts w:cstheme="majorBidi"/>
      <w:b/>
      <w:bCs/>
      <w:sz w:val="28"/>
      <w:szCs w:val="26"/>
    </w:rPr>
  </w:style>
  <w:style w:type="paragraph" w:styleId="3">
    <w:name w:val="heading 3"/>
    <w:basedOn w:val="a"/>
    <w:next w:val="a"/>
    <w:link w:val="30"/>
    <w:uiPriority w:val="9"/>
    <w:unhideWhenUsed/>
    <w:qFormat/>
    <w:rsid w:val="006607F0"/>
    <w:pPr>
      <w:keepNext/>
      <w:keepLines/>
      <w:spacing w:before="260" w:after="260" w:line="240" w:lineRule="auto"/>
      <w:outlineLvl w:val="2"/>
    </w:pPr>
    <w:rPr>
      <w:b/>
      <w:bCs/>
      <w:sz w:val="24"/>
      <w:szCs w:val="32"/>
    </w:rPr>
  </w:style>
  <w:style w:type="paragraph" w:styleId="4">
    <w:name w:val="heading 4"/>
    <w:basedOn w:val="a"/>
    <w:next w:val="a"/>
    <w:link w:val="40"/>
    <w:uiPriority w:val="9"/>
    <w:unhideWhenUsed/>
    <w:qFormat/>
    <w:rsid w:val="00D92FB2"/>
    <w:pPr>
      <w:keepNext/>
      <w:keepLines/>
      <w:spacing w:before="200" w:after="0"/>
      <w:outlineLvl w:val="3"/>
    </w:pPr>
    <w:rPr>
      <w:rFonts w:eastAsiaTheme="majorEastAsia" w:cstheme="majorBidi"/>
      <w:b/>
      <w:bCs/>
      <w:i/>
      <w:iCs/>
      <w:sz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3020"/>
    <w:pPr>
      <w:spacing w:after="0" w:line="240" w:lineRule="auto"/>
    </w:pPr>
    <w:rPr>
      <w:rFonts w:ascii="宋体" w:eastAsia="宋体"/>
      <w:sz w:val="18"/>
      <w:szCs w:val="18"/>
    </w:rPr>
  </w:style>
  <w:style w:type="character" w:customStyle="1" w:styleId="a4">
    <w:name w:val="批注框文本 字符"/>
    <w:basedOn w:val="a0"/>
    <w:link w:val="a3"/>
    <w:uiPriority w:val="99"/>
    <w:semiHidden/>
    <w:rsid w:val="00CE3020"/>
    <w:rPr>
      <w:rFonts w:ascii="宋体" w:eastAsia="宋体"/>
      <w:sz w:val="18"/>
      <w:szCs w:val="18"/>
    </w:rPr>
  </w:style>
  <w:style w:type="paragraph" w:styleId="a5">
    <w:name w:val="No Spacing"/>
    <w:link w:val="a6"/>
    <w:uiPriority w:val="1"/>
    <w:qFormat/>
    <w:rsid w:val="004B41B4"/>
    <w:pPr>
      <w:widowControl w:val="0"/>
      <w:spacing w:after="0" w:line="240" w:lineRule="auto"/>
    </w:pPr>
    <w:rPr>
      <w:kern w:val="2"/>
      <w:sz w:val="24"/>
      <w:lang w:eastAsia="zh-TW"/>
    </w:rPr>
  </w:style>
  <w:style w:type="table" w:styleId="-6">
    <w:name w:val="Light Shading Accent 6"/>
    <w:basedOn w:val="a1"/>
    <w:uiPriority w:val="60"/>
    <w:rsid w:val="004B41B4"/>
    <w:pPr>
      <w:spacing w:after="0" w:line="240" w:lineRule="auto"/>
    </w:pPr>
    <w:rPr>
      <w:color w:val="8F8F8F" w:themeColor="accent6" w:themeShade="BF"/>
      <w:kern w:val="2"/>
      <w:sz w:val="24"/>
      <w:lang w:eastAsia="zh-TW"/>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paragraph" w:styleId="a7">
    <w:name w:val="header"/>
    <w:basedOn w:val="a"/>
    <w:link w:val="a8"/>
    <w:uiPriority w:val="99"/>
    <w:unhideWhenUsed/>
    <w:rsid w:val="00AF0924"/>
    <w:pPr>
      <w:tabs>
        <w:tab w:val="center" w:pos="4320"/>
        <w:tab w:val="right" w:pos="8640"/>
      </w:tabs>
      <w:spacing w:after="0" w:line="240" w:lineRule="auto"/>
    </w:pPr>
  </w:style>
  <w:style w:type="character" w:customStyle="1" w:styleId="a8">
    <w:name w:val="页眉 字符"/>
    <w:basedOn w:val="a0"/>
    <w:link w:val="a7"/>
    <w:uiPriority w:val="99"/>
    <w:rsid w:val="00AF0924"/>
  </w:style>
  <w:style w:type="paragraph" w:styleId="a9">
    <w:name w:val="footer"/>
    <w:basedOn w:val="a"/>
    <w:link w:val="aa"/>
    <w:uiPriority w:val="99"/>
    <w:unhideWhenUsed/>
    <w:rsid w:val="00F36D60"/>
    <w:pPr>
      <w:tabs>
        <w:tab w:val="right" w:pos="4320"/>
        <w:tab w:val="right" w:pos="8640"/>
      </w:tabs>
      <w:spacing w:after="0" w:line="240" w:lineRule="auto"/>
      <w:ind w:right="0"/>
      <w:jc w:val="right"/>
    </w:pPr>
  </w:style>
  <w:style w:type="character" w:customStyle="1" w:styleId="aa">
    <w:name w:val="页脚 字符"/>
    <w:basedOn w:val="a0"/>
    <w:link w:val="a9"/>
    <w:uiPriority w:val="99"/>
    <w:rsid w:val="00F36D60"/>
    <w:rPr>
      <w:rFonts w:ascii="Times New Roman" w:hAnsi="Times New Roman"/>
    </w:rPr>
  </w:style>
  <w:style w:type="character" w:customStyle="1" w:styleId="a6">
    <w:name w:val="无间隔 字符"/>
    <w:basedOn w:val="a0"/>
    <w:link w:val="a5"/>
    <w:uiPriority w:val="1"/>
    <w:rsid w:val="00AF0924"/>
    <w:rPr>
      <w:kern w:val="2"/>
      <w:sz w:val="24"/>
      <w:lang w:eastAsia="zh-TW"/>
    </w:rPr>
  </w:style>
  <w:style w:type="character" w:customStyle="1" w:styleId="10">
    <w:name w:val="标题 1 字符"/>
    <w:basedOn w:val="a0"/>
    <w:link w:val="1"/>
    <w:uiPriority w:val="9"/>
    <w:rsid w:val="008F21FE"/>
    <w:rPr>
      <w:rFonts w:ascii="Times New Roman" w:eastAsia="楷体" w:hAnsi="Times New Roman" w:cstheme="majorBidi"/>
      <w:b/>
      <w:bCs/>
      <w:sz w:val="40"/>
      <w:szCs w:val="28"/>
    </w:rPr>
  </w:style>
  <w:style w:type="character" w:customStyle="1" w:styleId="20">
    <w:name w:val="标题 2 字符"/>
    <w:basedOn w:val="a0"/>
    <w:link w:val="2"/>
    <w:uiPriority w:val="9"/>
    <w:rsid w:val="005870B8"/>
    <w:rPr>
      <w:rFonts w:ascii="Times New Roman" w:eastAsia="楷体" w:hAnsi="Times New Roman" w:cstheme="majorBidi"/>
      <w:b/>
      <w:bCs/>
      <w:sz w:val="28"/>
      <w:szCs w:val="26"/>
    </w:rPr>
  </w:style>
  <w:style w:type="character" w:styleId="ab">
    <w:name w:val="Book Title"/>
    <w:basedOn w:val="a0"/>
    <w:uiPriority w:val="33"/>
    <w:qFormat/>
    <w:rsid w:val="00666ED8"/>
    <w:rPr>
      <w:b/>
      <w:bCs/>
      <w:smallCaps/>
      <w:spacing w:val="5"/>
    </w:rPr>
  </w:style>
  <w:style w:type="paragraph" w:styleId="ac">
    <w:name w:val="List Paragraph"/>
    <w:basedOn w:val="a"/>
    <w:uiPriority w:val="34"/>
    <w:qFormat/>
    <w:rsid w:val="00D0398C"/>
    <w:pPr>
      <w:ind w:left="720"/>
    </w:pPr>
  </w:style>
  <w:style w:type="character" w:customStyle="1" w:styleId="30">
    <w:name w:val="标题 3 字符"/>
    <w:basedOn w:val="a0"/>
    <w:link w:val="3"/>
    <w:uiPriority w:val="9"/>
    <w:rsid w:val="006607F0"/>
    <w:rPr>
      <w:rFonts w:ascii="Times New Roman" w:eastAsia="楷体" w:hAnsi="Times New Roman"/>
      <w:b/>
      <w:bCs/>
      <w:sz w:val="24"/>
      <w:szCs w:val="32"/>
    </w:rPr>
  </w:style>
  <w:style w:type="table" w:styleId="-2">
    <w:name w:val="Light Shading Accent 2"/>
    <w:basedOn w:val="a1"/>
    <w:uiPriority w:val="60"/>
    <w:rsid w:val="00E55577"/>
    <w:pPr>
      <w:spacing w:after="0" w:line="240" w:lineRule="auto"/>
    </w:pPr>
    <w:rPr>
      <w:color w:val="7B7B7B" w:themeColor="accent2" w:themeShade="BF"/>
    </w:rPr>
    <w:tblPr>
      <w:tblStyleRowBandSize w:val="1"/>
      <w:tblStyleColBandSize w:val="1"/>
      <w:tblBorders>
        <w:top w:val="single" w:sz="8" w:space="0" w:color="A5A5A5" w:themeColor="accent2"/>
        <w:bottom w:val="single" w:sz="8" w:space="0" w:color="A5A5A5" w:themeColor="accent2"/>
      </w:tblBorders>
    </w:tblPr>
    <w:tblStylePr w:type="firstRow">
      <w:pPr>
        <w:spacing w:before="0" w:after="0" w:line="240" w:lineRule="auto"/>
      </w:pPr>
      <w:rPr>
        <w:b/>
        <w:bCs/>
      </w:rPr>
      <w:tblPr/>
      <w:tcPr>
        <w:tcBorders>
          <w:top w:val="single" w:sz="8" w:space="0" w:color="A5A5A5" w:themeColor="accent2"/>
          <w:left w:val="nil"/>
          <w:bottom w:val="single" w:sz="8" w:space="0" w:color="A5A5A5" w:themeColor="accent2"/>
          <w:right w:val="nil"/>
          <w:insideH w:val="nil"/>
          <w:insideV w:val="nil"/>
        </w:tcBorders>
      </w:tcPr>
    </w:tblStylePr>
    <w:tblStylePr w:type="lastRow">
      <w:pPr>
        <w:spacing w:before="0" w:after="0" w:line="240" w:lineRule="auto"/>
      </w:pPr>
      <w:rPr>
        <w:b/>
        <w:bCs/>
      </w:rPr>
      <w:tblPr/>
      <w:tcPr>
        <w:tcBorders>
          <w:top w:val="single" w:sz="8" w:space="0" w:color="A5A5A5" w:themeColor="accent2"/>
          <w:left w:val="nil"/>
          <w:bottom w:val="single" w:sz="8" w:space="0" w:color="A5A5A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2" w:themeFillTint="3F"/>
      </w:tcPr>
    </w:tblStylePr>
    <w:tblStylePr w:type="band1Horz">
      <w:tblPr/>
      <w:tcPr>
        <w:tcBorders>
          <w:left w:val="nil"/>
          <w:right w:val="nil"/>
          <w:insideH w:val="nil"/>
          <w:insideV w:val="nil"/>
        </w:tcBorders>
        <w:shd w:val="clear" w:color="auto" w:fill="E8E8E8" w:themeFill="accent2" w:themeFillTint="3F"/>
      </w:tcPr>
    </w:tblStylePr>
  </w:style>
  <w:style w:type="table" w:styleId="-1">
    <w:name w:val="Light Shading Accent 1"/>
    <w:basedOn w:val="a1"/>
    <w:uiPriority w:val="60"/>
    <w:rsid w:val="00E55577"/>
    <w:pPr>
      <w:spacing w:after="0" w:line="240" w:lineRule="auto"/>
    </w:pPr>
    <w:rPr>
      <w:color w:val="8F0000" w:themeColor="accent1" w:themeShade="BF"/>
    </w:rPr>
    <w:tblPr>
      <w:tblStyleRowBandSize w:val="1"/>
      <w:tblStyleColBandSize w:val="1"/>
      <w:tblBorders>
        <w:top w:val="single" w:sz="8" w:space="0" w:color="C00000" w:themeColor="accent1"/>
        <w:bottom w:val="single" w:sz="8" w:space="0" w:color="C00000" w:themeColor="accent1"/>
      </w:tblBorders>
    </w:tblPr>
    <w:tblStylePr w:type="firstRow">
      <w:pPr>
        <w:spacing w:before="0" w:after="0" w:line="240" w:lineRule="auto"/>
      </w:pPr>
      <w:rPr>
        <w:b/>
        <w:bCs/>
      </w:rPr>
      <w:tblPr/>
      <w:tcPr>
        <w:tcBorders>
          <w:top w:val="single" w:sz="8" w:space="0" w:color="C00000" w:themeColor="accent1"/>
          <w:left w:val="nil"/>
          <w:bottom w:val="single" w:sz="8" w:space="0" w:color="C00000" w:themeColor="accent1"/>
          <w:right w:val="nil"/>
          <w:insideH w:val="nil"/>
          <w:insideV w:val="nil"/>
        </w:tcBorders>
      </w:tcPr>
    </w:tblStylePr>
    <w:tblStylePr w:type="lastRow">
      <w:pPr>
        <w:spacing w:before="0" w:after="0" w:line="240" w:lineRule="auto"/>
      </w:pPr>
      <w:rPr>
        <w:b/>
        <w:bCs/>
      </w:rPr>
      <w:tblPr/>
      <w:tcPr>
        <w:tcBorders>
          <w:top w:val="single" w:sz="8" w:space="0" w:color="C00000" w:themeColor="accent1"/>
          <w:left w:val="nil"/>
          <w:bottom w:val="single" w:sz="8" w:space="0" w:color="C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1" w:themeFillTint="3F"/>
      </w:tcPr>
    </w:tblStylePr>
    <w:tblStylePr w:type="band1Horz">
      <w:tblPr/>
      <w:tcPr>
        <w:tcBorders>
          <w:left w:val="nil"/>
          <w:right w:val="nil"/>
          <w:insideH w:val="nil"/>
          <w:insideV w:val="nil"/>
        </w:tcBorders>
        <w:shd w:val="clear" w:color="auto" w:fill="FFB0B0" w:themeFill="accent1" w:themeFillTint="3F"/>
      </w:tcPr>
    </w:tblStylePr>
  </w:style>
  <w:style w:type="table" w:customStyle="1" w:styleId="OrientSecurity">
    <w:name w:val="Orient Security"/>
    <w:basedOn w:val="-1"/>
    <w:uiPriority w:val="99"/>
    <w:rsid w:val="00E27F9E"/>
    <w:rPr>
      <w:rFonts w:ascii="Times New Roman" w:hAnsi="Times New Roman"/>
      <w:sz w:val="18"/>
    </w:rPr>
    <w:tblPr/>
    <w:tblStylePr w:type="firstRow">
      <w:pPr>
        <w:spacing w:before="0" w:after="0" w:line="240" w:lineRule="auto"/>
      </w:pPr>
      <w:rPr>
        <w:b/>
        <w:bCs/>
      </w:rPr>
      <w:tblPr/>
      <w:tcPr>
        <w:tcBorders>
          <w:top w:val="single" w:sz="8" w:space="0" w:color="C00000" w:themeColor="accent1"/>
          <w:left w:val="nil"/>
          <w:bottom w:val="single" w:sz="8" w:space="0" w:color="C00000" w:themeColor="accent1"/>
          <w:right w:val="nil"/>
          <w:insideH w:val="nil"/>
          <w:insideV w:val="nil"/>
        </w:tcBorders>
      </w:tcPr>
    </w:tblStylePr>
    <w:tblStylePr w:type="lastRow">
      <w:pPr>
        <w:spacing w:before="0" w:after="0" w:line="240" w:lineRule="auto"/>
      </w:pPr>
      <w:rPr>
        <w:b/>
        <w:bCs/>
      </w:rPr>
      <w:tblPr/>
      <w:tcPr>
        <w:tcBorders>
          <w:top w:val="single" w:sz="8" w:space="0" w:color="C00000" w:themeColor="accent1"/>
          <w:left w:val="nil"/>
          <w:bottom w:val="single" w:sz="8" w:space="0" w:color="C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1" w:themeFillTint="3F"/>
      </w:tcPr>
    </w:tblStylePr>
    <w:tblStylePr w:type="band1Horz">
      <w:tblPr/>
      <w:tcPr>
        <w:tcBorders>
          <w:left w:val="nil"/>
          <w:right w:val="nil"/>
          <w:insideH w:val="nil"/>
          <w:insideV w:val="nil"/>
        </w:tcBorders>
        <w:shd w:val="clear" w:color="auto" w:fill="FFB0B0" w:themeFill="accent1" w:themeFillTint="3F"/>
      </w:tcPr>
    </w:tblStylePr>
  </w:style>
  <w:style w:type="paragraph" w:styleId="ad">
    <w:name w:val="caption"/>
    <w:aliases w:val="表头"/>
    <w:basedOn w:val="a"/>
    <w:next w:val="a"/>
    <w:link w:val="ae"/>
    <w:uiPriority w:val="35"/>
    <w:unhideWhenUsed/>
    <w:qFormat/>
    <w:rsid w:val="007551B6"/>
    <w:pPr>
      <w:spacing w:after="100" w:line="240" w:lineRule="auto"/>
      <w:contextualSpacing/>
    </w:pPr>
    <w:rPr>
      <w:b/>
      <w:bCs/>
      <w:sz w:val="20"/>
      <w:szCs w:val="18"/>
    </w:rPr>
  </w:style>
  <w:style w:type="paragraph" w:customStyle="1" w:styleId="Charthead">
    <w:name w:val="Chart head"/>
    <w:basedOn w:val="ad"/>
    <w:link w:val="ChartheadChar"/>
    <w:qFormat/>
    <w:rsid w:val="00EA28DE"/>
    <w:pPr>
      <w:keepNext/>
      <w:pBdr>
        <w:bottom w:val="single" w:sz="4" w:space="1" w:color="auto"/>
      </w:pBdr>
    </w:pPr>
  </w:style>
  <w:style w:type="table" w:styleId="af">
    <w:name w:val="Table Grid"/>
    <w:basedOn w:val="a1"/>
    <w:uiPriority w:val="59"/>
    <w:rsid w:val="00AF7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题注 字符"/>
    <w:aliases w:val="表头 字符"/>
    <w:basedOn w:val="a0"/>
    <w:link w:val="ad"/>
    <w:uiPriority w:val="35"/>
    <w:rsid w:val="007551B6"/>
    <w:rPr>
      <w:rFonts w:ascii="Times New Roman" w:eastAsia="楷体" w:hAnsi="Times New Roman"/>
      <w:b/>
      <w:bCs/>
      <w:sz w:val="20"/>
      <w:szCs w:val="18"/>
    </w:rPr>
  </w:style>
  <w:style w:type="character" w:customStyle="1" w:styleId="ChartheadChar">
    <w:name w:val="Chart head Char"/>
    <w:basedOn w:val="ae"/>
    <w:link w:val="Charthead"/>
    <w:rsid w:val="00EA28DE"/>
    <w:rPr>
      <w:rFonts w:ascii="Times New Roman" w:eastAsia="楷体" w:hAnsi="Times New Roman"/>
      <w:b/>
      <w:bCs/>
      <w:sz w:val="20"/>
      <w:szCs w:val="18"/>
    </w:rPr>
  </w:style>
  <w:style w:type="character" w:customStyle="1" w:styleId="40">
    <w:name w:val="标题 4 字符"/>
    <w:basedOn w:val="a0"/>
    <w:link w:val="4"/>
    <w:uiPriority w:val="9"/>
    <w:rsid w:val="00D92FB2"/>
    <w:rPr>
      <w:rFonts w:ascii="Times New Roman" w:eastAsiaTheme="majorEastAsia" w:hAnsi="Times New Roman" w:cstheme="majorBidi"/>
      <w:b/>
      <w:bCs/>
      <w:i/>
      <w:iCs/>
      <w:sz w:val="20"/>
      <w:u w:val="single"/>
    </w:rPr>
  </w:style>
  <w:style w:type="paragraph" w:styleId="TOC">
    <w:name w:val="TOC Heading"/>
    <w:basedOn w:val="1"/>
    <w:next w:val="a"/>
    <w:uiPriority w:val="39"/>
    <w:unhideWhenUsed/>
    <w:qFormat/>
    <w:rsid w:val="00070759"/>
    <w:pPr>
      <w:spacing w:line="276" w:lineRule="auto"/>
      <w:ind w:right="0"/>
      <w:jc w:val="left"/>
      <w:outlineLvl w:val="9"/>
    </w:pPr>
    <w:rPr>
      <w:rFonts w:asciiTheme="majorHAnsi" w:hAnsiTheme="majorHAnsi"/>
      <w:color w:val="8F0000" w:themeColor="accent1" w:themeShade="BF"/>
      <w:sz w:val="28"/>
      <w:lang w:eastAsia="ja-JP"/>
    </w:rPr>
  </w:style>
  <w:style w:type="paragraph" w:styleId="TOC1">
    <w:name w:val="toc 1"/>
    <w:basedOn w:val="a"/>
    <w:next w:val="a"/>
    <w:autoRedefine/>
    <w:uiPriority w:val="39"/>
    <w:unhideWhenUsed/>
    <w:qFormat/>
    <w:rsid w:val="00070759"/>
  </w:style>
  <w:style w:type="paragraph" w:styleId="TOC2">
    <w:name w:val="toc 2"/>
    <w:basedOn w:val="a"/>
    <w:next w:val="a"/>
    <w:autoRedefine/>
    <w:uiPriority w:val="39"/>
    <w:unhideWhenUsed/>
    <w:qFormat/>
    <w:rsid w:val="002C3452"/>
    <w:pPr>
      <w:tabs>
        <w:tab w:val="right" w:leader="dot" w:pos="10076"/>
      </w:tabs>
      <w:ind w:leftChars="200" w:left="420" w:right="2573"/>
      <w:contextualSpacing/>
    </w:pPr>
  </w:style>
  <w:style w:type="paragraph" w:styleId="TOC3">
    <w:name w:val="toc 3"/>
    <w:basedOn w:val="a"/>
    <w:next w:val="a"/>
    <w:autoRedefine/>
    <w:uiPriority w:val="39"/>
    <w:unhideWhenUsed/>
    <w:qFormat/>
    <w:rsid w:val="00070759"/>
    <w:pPr>
      <w:ind w:leftChars="400" w:left="840"/>
    </w:pPr>
  </w:style>
  <w:style w:type="character" w:styleId="af0">
    <w:name w:val="Hyperlink"/>
    <w:basedOn w:val="a0"/>
    <w:uiPriority w:val="99"/>
    <w:unhideWhenUsed/>
    <w:rsid w:val="00070759"/>
    <w:rPr>
      <w:color w:val="D8D8D8" w:themeColor="hyperlink"/>
      <w:u w:val="single"/>
    </w:rPr>
  </w:style>
  <w:style w:type="character" w:styleId="af1">
    <w:name w:val="FollowedHyperlink"/>
    <w:basedOn w:val="a0"/>
    <w:uiPriority w:val="99"/>
    <w:semiHidden/>
    <w:unhideWhenUsed/>
    <w:rsid w:val="0030246C"/>
    <w:rPr>
      <w:color w:val="800080"/>
      <w:u w:val="single"/>
    </w:rPr>
  </w:style>
  <w:style w:type="paragraph" w:customStyle="1" w:styleId="font5">
    <w:name w:val="font5"/>
    <w:basedOn w:val="a"/>
    <w:rsid w:val="0030246C"/>
    <w:pPr>
      <w:spacing w:before="100" w:beforeAutospacing="1" w:after="100" w:afterAutospacing="1" w:line="240" w:lineRule="auto"/>
      <w:ind w:right="0"/>
      <w:jc w:val="left"/>
    </w:pPr>
    <w:rPr>
      <w:rFonts w:ascii="PMingLiU" w:eastAsia="PMingLiU" w:hAnsi="PMingLiU" w:cs="Times New Roman"/>
      <w:sz w:val="18"/>
      <w:szCs w:val="18"/>
      <w:lang w:eastAsia="zh-TW"/>
    </w:rPr>
  </w:style>
  <w:style w:type="paragraph" w:customStyle="1" w:styleId="xl63">
    <w:name w:val="xl63"/>
    <w:basedOn w:val="a"/>
    <w:rsid w:val="0030246C"/>
    <w:pPr>
      <w:spacing w:before="100" w:beforeAutospacing="1" w:after="100" w:afterAutospacing="1" w:line="240" w:lineRule="auto"/>
      <w:ind w:right="0"/>
      <w:jc w:val="left"/>
    </w:pPr>
    <w:rPr>
      <w:rFonts w:ascii="Arial Narrow" w:eastAsia="Times New Roman" w:hAnsi="Arial Narrow" w:cs="Times New Roman"/>
      <w:sz w:val="16"/>
      <w:szCs w:val="16"/>
      <w:lang w:eastAsia="zh-TW"/>
    </w:rPr>
  </w:style>
  <w:style w:type="paragraph" w:customStyle="1" w:styleId="xl64">
    <w:name w:val="xl64"/>
    <w:basedOn w:val="a"/>
    <w:rsid w:val="0030246C"/>
    <w:pPr>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65">
    <w:name w:val="xl65"/>
    <w:basedOn w:val="a"/>
    <w:rsid w:val="0030246C"/>
    <w:pPr>
      <w:pBdr>
        <w:top w:val="single" w:sz="4" w:space="0" w:color="C0504D"/>
      </w:pBdr>
      <w:shd w:val="clear" w:color="000000" w:fill="DDD9C4"/>
      <w:spacing w:before="100" w:beforeAutospacing="1" w:after="100" w:afterAutospacing="1" w:line="240" w:lineRule="auto"/>
      <w:ind w:right="0"/>
      <w:jc w:val="left"/>
    </w:pPr>
    <w:rPr>
      <w:rFonts w:ascii="Arial Narrow" w:eastAsia="Times New Roman" w:hAnsi="Arial Narrow" w:cs="Times New Roman"/>
      <w:b/>
      <w:bCs/>
      <w:sz w:val="16"/>
      <w:szCs w:val="16"/>
      <w:lang w:eastAsia="zh-TW"/>
    </w:rPr>
  </w:style>
  <w:style w:type="paragraph" w:customStyle="1" w:styleId="xl66">
    <w:name w:val="xl66"/>
    <w:basedOn w:val="a"/>
    <w:rsid w:val="0030246C"/>
    <w:pPr>
      <w:pBdr>
        <w:top w:val="single" w:sz="4" w:space="0" w:color="C0504D"/>
      </w:pBd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67">
    <w:name w:val="xl67"/>
    <w:basedOn w:val="a"/>
    <w:rsid w:val="0030246C"/>
    <w:pPr>
      <w:pBdr>
        <w:top w:val="single" w:sz="4" w:space="0" w:color="C0504D"/>
        <w:bottom w:val="single" w:sz="4" w:space="0" w:color="C0504D"/>
      </w:pBd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68">
    <w:name w:val="xl68"/>
    <w:basedOn w:val="a"/>
    <w:rsid w:val="0030246C"/>
    <w:pPr>
      <w:pBdr>
        <w:top w:val="single" w:sz="4" w:space="0" w:color="C0504D"/>
      </w:pBd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69">
    <w:name w:val="xl69"/>
    <w:basedOn w:val="a"/>
    <w:rsid w:val="0030246C"/>
    <w:pPr>
      <w:spacing w:before="100" w:beforeAutospacing="1" w:after="100" w:afterAutospacing="1" w:line="240" w:lineRule="auto"/>
      <w:ind w:right="0"/>
      <w:jc w:val="left"/>
    </w:pPr>
    <w:rPr>
      <w:rFonts w:ascii="Arial Narrow" w:eastAsia="Times New Roman" w:hAnsi="Arial Narrow" w:cs="Times New Roman"/>
      <w:b/>
      <w:bCs/>
      <w:i/>
      <w:iCs/>
      <w:sz w:val="16"/>
      <w:szCs w:val="16"/>
      <w:lang w:eastAsia="zh-TW"/>
    </w:rPr>
  </w:style>
  <w:style w:type="paragraph" w:customStyle="1" w:styleId="xl70">
    <w:name w:val="xl70"/>
    <w:basedOn w:val="a"/>
    <w:rsid w:val="0030246C"/>
    <w:pPr>
      <w:spacing w:before="100" w:beforeAutospacing="1" w:after="100" w:afterAutospacing="1" w:line="240" w:lineRule="auto"/>
      <w:ind w:right="0"/>
      <w:jc w:val="left"/>
    </w:pPr>
    <w:rPr>
      <w:rFonts w:ascii="Arial Narrow" w:eastAsia="Times New Roman" w:hAnsi="Arial Narrow" w:cs="Times New Roman"/>
      <w:sz w:val="16"/>
      <w:szCs w:val="16"/>
      <w:lang w:eastAsia="zh-TW"/>
    </w:rPr>
  </w:style>
  <w:style w:type="paragraph" w:customStyle="1" w:styleId="xl71">
    <w:name w:val="xl71"/>
    <w:basedOn w:val="a"/>
    <w:rsid w:val="0030246C"/>
    <w:pPr>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72">
    <w:name w:val="xl72"/>
    <w:basedOn w:val="a"/>
    <w:rsid w:val="0030246C"/>
    <w:pPr>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73">
    <w:name w:val="xl73"/>
    <w:basedOn w:val="a"/>
    <w:rsid w:val="0030246C"/>
    <w:pPr>
      <w:shd w:val="clear" w:color="F2DCDB" w:fill="F2DCDB"/>
      <w:spacing w:before="100" w:beforeAutospacing="1" w:after="100" w:afterAutospacing="1" w:line="240" w:lineRule="auto"/>
      <w:ind w:right="0"/>
      <w:jc w:val="left"/>
    </w:pPr>
    <w:rPr>
      <w:rFonts w:ascii="Arial Narrow" w:eastAsia="Times New Roman" w:hAnsi="Arial Narrow" w:cs="Times New Roman"/>
      <w:sz w:val="16"/>
      <w:szCs w:val="16"/>
      <w:lang w:eastAsia="zh-TW"/>
    </w:rPr>
  </w:style>
  <w:style w:type="paragraph" w:customStyle="1" w:styleId="xl74">
    <w:name w:val="xl74"/>
    <w:basedOn w:val="a"/>
    <w:rsid w:val="0030246C"/>
    <w:pPr>
      <w:shd w:val="clear" w:color="F2DCDB" w:fill="F2DCDB"/>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75">
    <w:name w:val="xl75"/>
    <w:basedOn w:val="a"/>
    <w:rsid w:val="0030246C"/>
    <w:pPr>
      <w:shd w:val="clear" w:color="F2DCDB" w:fill="F2DCDB"/>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76">
    <w:name w:val="xl76"/>
    <w:basedOn w:val="a"/>
    <w:rsid w:val="0030246C"/>
    <w:pPr>
      <w:shd w:val="clear" w:color="F2DCDB" w:fill="F2DCDB"/>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77">
    <w:name w:val="xl77"/>
    <w:basedOn w:val="a"/>
    <w:rsid w:val="0030246C"/>
    <w:pPr>
      <w:shd w:val="clear" w:color="F2DCDB" w:fill="F2DCDB"/>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78">
    <w:name w:val="xl78"/>
    <w:basedOn w:val="a"/>
    <w:rsid w:val="0030246C"/>
    <w:pPr>
      <w:shd w:val="clear" w:color="F2DCDB" w:fill="F2DCDB"/>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79">
    <w:name w:val="xl79"/>
    <w:basedOn w:val="a"/>
    <w:rsid w:val="0030246C"/>
    <w:pPr>
      <w:shd w:val="clear" w:color="F2DCDB" w:fill="F2DCDB"/>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80">
    <w:name w:val="xl80"/>
    <w:basedOn w:val="a"/>
    <w:rsid w:val="0030246C"/>
    <w:pPr>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81">
    <w:name w:val="xl81"/>
    <w:basedOn w:val="a"/>
    <w:rsid w:val="0030246C"/>
    <w:pPr>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82">
    <w:name w:val="xl82"/>
    <w:basedOn w:val="a"/>
    <w:rsid w:val="0030246C"/>
    <w:pPr>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83">
    <w:name w:val="xl83"/>
    <w:basedOn w:val="a"/>
    <w:rsid w:val="0030246C"/>
    <w:pPr>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84">
    <w:name w:val="xl84"/>
    <w:basedOn w:val="a"/>
    <w:rsid w:val="0030246C"/>
    <w:pPr>
      <w:spacing w:before="100" w:beforeAutospacing="1" w:after="100" w:afterAutospacing="1" w:line="240" w:lineRule="auto"/>
      <w:ind w:right="0"/>
      <w:jc w:val="center"/>
    </w:pPr>
    <w:rPr>
      <w:rFonts w:ascii="Arial Narrow" w:eastAsia="Times New Roman" w:hAnsi="Arial Narrow" w:cs="Times New Roman"/>
      <w:sz w:val="16"/>
      <w:szCs w:val="16"/>
      <w:lang w:eastAsia="zh-TW"/>
    </w:rPr>
  </w:style>
  <w:style w:type="paragraph" w:customStyle="1" w:styleId="xl85">
    <w:name w:val="xl85"/>
    <w:basedOn w:val="a"/>
    <w:rsid w:val="0030246C"/>
    <w:pPr>
      <w:pBdr>
        <w:top w:val="single" w:sz="4" w:space="0" w:color="auto"/>
      </w:pBdr>
      <w:shd w:val="clear" w:color="000000" w:fill="DDD9C4"/>
      <w:spacing w:before="100" w:beforeAutospacing="1" w:after="100" w:afterAutospacing="1" w:line="240" w:lineRule="auto"/>
      <w:ind w:right="0"/>
      <w:jc w:val="left"/>
    </w:pPr>
    <w:rPr>
      <w:rFonts w:ascii="Arial Narrow" w:eastAsia="Times New Roman" w:hAnsi="Arial Narrow" w:cs="Times New Roman"/>
      <w:b/>
      <w:bCs/>
      <w:sz w:val="16"/>
      <w:szCs w:val="16"/>
      <w:lang w:eastAsia="zh-TW"/>
    </w:rPr>
  </w:style>
  <w:style w:type="paragraph" w:customStyle="1" w:styleId="xl86">
    <w:name w:val="xl86"/>
    <w:basedOn w:val="a"/>
    <w:rsid w:val="0030246C"/>
    <w:pPr>
      <w:pBdr>
        <w:top w:val="single" w:sz="4" w:space="0" w:color="auto"/>
      </w:pBd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87">
    <w:name w:val="xl87"/>
    <w:basedOn w:val="a"/>
    <w:rsid w:val="0030246C"/>
    <w:pPr>
      <w:pBdr>
        <w:top w:val="single" w:sz="4" w:space="0" w:color="auto"/>
      </w:pBd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88">
    <w:name w:val="xl88"/>
    <w:basedOn w:val="a"/>
    <w:rsid w:val="0030246C"/>
    <w:pPr>
      <w:pBdr>
        <w:top w:val="single" w:sz="4" w:space="0" w:color="auto"/>
      </w:pBd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89">
    <w:name w:val="xl89"/>
    <w:basedOn w:val="a"/>
    <w:rsid w:val="0030246C"/>
    <w:pPr>
      <w:pBdr>
        <w:top w:val="single" w:sz="4" w:space="0" w:color="auto"/>
      </w:pBd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90">
    <w:name w:val="xl90"/>
    <w:basedOn w:val="a"/>
    <w:rsid w:val="0030246C"/>
    <w:pPr>
      <w:pBdr>
        <w:top w:val="single" w:sz="4" w:space="0" w:color="auto"/>
      </w:pBd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91">
    <w:name w:val="xl91"/>
    <w:basedOn w:val="a"/>
    <w:rsid w:val="0030246C"/>
    <w:pPr>
      <w:pBdr>
        <w:top w:val="single" w:sz="4" w:space="0" w:color="auto"/>
      </w:pBd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92">
    <w:name w:val="xl92"/>
    <w:basedOn w:val="a"/>
    <w:rsid w:val="0030246C"/>
    <w:pPr>
      <w:pBdr>
        <w:top w:val="single" w:sz="4" w:space="0" w:color="auto"/>
      </w:pBdr>
      <w:shd w:val="clear" w:color="F2DCDB" w:fill="DDD9C4"/>
      <w:spacing w:before="100" w:beforeAutospacing="1" w:after="100" w:afterAutospacing="1" w:line="240" w:lineRule="auto"/>
      <w:ind w:right="0"/>
      <w:jc w:val="left"/>
    </w:pPr>
    <w:rPr>
      <w:rFonts w:ascii="Arial Narrow" w:eastAsia="Times New Roman" w:hAnsi="Arial Narrow" w:cs="Times New Roman"/>
      <w:b/>
      <w:bCs/>
      <w:sz w:val="16"/>
      <w:szCs w:val="16"/>
      <w:lang w:eastAsia="zh-TW"/>
    </w:rPr>
  </w:style>
  <w:style w:type="paragraph" w:customStyle="1" w:styleId="xl93">
    <w:name w:val="xl93"/>
    <w:basedOn w:val="a"/>
    <w:rsid w:val="0030246C"/>
    <w:pPr>
      <w:pBdr>
        <w:top w:val="single" w:sz="4" w:space="0" w:color="auto"/>
      </w:pBdr>
      <w:shd w:val="clear" w:color="F2DCDB"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94">
    <w:name w:val="xl94"/>
    <w:basedOn w:val="a"/>
    <w:rsid w:val="0030246C"/>
    <w:pPr>
      <w:pBdr>
        <w:top w:val="single" w:sz="4" w:space="0" w:color="auto"/>
      </w:pBdr>
      <w:shd w:val="clear" w:color="F2DCDB"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95">
    <w:name w:val="xl95"/>
    <w:basedOn w:val="a"/>
    <w:rsid w:val="0030246C"/>
    <w:pPr>
      <w:pBdr>
        <w:top w:val="single" w:sz="4" w:space="0" w:color="auto"/>
      </w:pBdr>
      <w:shd w:val="clear" w:color="F2DCDB"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96">
    <w:name w:val="xl96"/>
    <w:basedOn w:val="a"/>
    <w:rsid w:val="0030246C"/>
    <w:pPr>
      <w:pBdr>
        <w:top w:val="single" w:sz="4" w:space="0" w:color="auto"/>
      </w:pBdr>
      <w:shd w:val="clear" w:color="F2DCDB"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97">
    <w:name w:val="xl97"/>
    <w:basedOn w:val="a"/>
    <w:rsid w:val="0030246C"/>
    <w:pPr>
      <w:pBdr>
        <w:top w:val="single" w:sz="4" w:space="0" w:color="auto"/>
      </w:pBdr>
      <w:shd w:val="clear" w:color="F2DCDB"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98">
    <w:name w:val="xl98"/>
    <w:basedOn w:val="a"/>
    <w:rsid w:val="0030246C"/>
    <w:pPr>
      <w:pBdr>
        <w:top w:val="single" w:sz="4" w:space="0" w:color="auto"/>
      </w:pBdr>
      <w:shd w:val="clear" w:color="F2DCDB"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99">
    <w:name w:val="xl99"/>
    <w:basedOn w:val="a"/>
    <w:rsid w:val="0030246C"/>
    <w:pPr>
      <w:shd w:val="clear" w:color="000000" w:fill="DDD9C4"/>
      <w:spacing w:before="100" w:beforeAutospacing="1" w:after="100" w:afterAutospacing="1" w:line="240" w:lineRule="auto"/>
      <w:ind w:right="0"/>
      <w:jc w:val="left"/>
    </w:pPr>
    <w:rPr>
      <w:rFonts w:ascii="Arial Narrow" w:eastAsia="Times New Roman" w:hAnsi="Arial Narrow" w:cs="Times New Roman"/>
      <w:b/>
      <w:bCs/>
      <w:sz w:val="16"/>
      <w:szCs w:val="16"/>
      <w:lang w:eastAsia="zh-TW"/>
    </w:rPr>
  </w:style>
  <w:style w:type="paragraph" w:customStyle="1" w:styleId="xl100">
    <w:name w:val="xl100"/>
    <w:basedOn w:val="a"/>
    <w:rsid w:val="0030246C"/>
    <w:pP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101">
    <w:name w:val="xl101"/>
    <w:basedOn w:val="a"/>
    <w:rsid w:val="0030246C"/>
    <w:pP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102">
    <w:name w:val="xl102"/>
    <w:basedOn w:val="a"/>
    <w:rsid w:val="0030246C"/>
    <w:pP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103">
    <w:name w:val="xl103"/>
    <w:basedOn w:val="a"/>
    <w:rsid w:val="0030246C"/>
    <w:pP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104">
    <w:name w:val="xl104"/>
    <w:basedOn w:val="a"/>
    <w:rsid w:val="0030246C"/>
    <w:pP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xl105">
    <w:name w:val="xl105"/>
    <w:basedOn w:val="a"/>
    <w:rsid w:val="0030246C"/>
    <w:pPr>
      <w:shd w:val="clear" w:color="000000" w:fill="DDD9C4"/>
      <w:spacing w:before="100" w:beforeAutospacing="1" w:after="100" w:afterAutospacing="1" w:line="240" w:lineRule="auto"/>
      <w:ind w:right="0"/>
      <w:jc w:val="center"/>
    </w:pPr>
    <w:rPr>
      <w:rFonts w:ascii="Arial Narrow" w:eastAsia="Times New Roman" w:hAnsi="Arial Narrow" w:cs="Times New Roman"/>
      <w:b/>
      <w:bCs/>
      <w:sz w:val="16"/>
      <w:szCs w:val="16"/>
      <w:lang w:eastAsia="zh-TW"/>
    </w:rPr>
  </w:style>
  <w:style w:type="paragraph" w:customStyle="1" w:styleId="Default">
    <w:name w:val="Default"/>
    <w:rsid w:val="004D19E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2">
    <w:name w:val="图题"/>
    <w:link w:val="Char"/>
    <w:qFormat/>
    <w:rsid w:val="001246BD"/>
    <w:pPr>
      <w:spacing w:after="0" w:line="240" w:lineRule="auto"/>
    </w:pPr>
    <w:rPr>
      <w:rFonts w:ascii="Arial" w:eastAsia="黑体" w:hAnsi="Arial" w:cs="宋体"/>
      <w:color w:val="005587"/>
      <w:sz w:val="16"/>
      <w:szCs w:val="16"/>
      <w:lang w:val="zh-CN"/>
    </w:rPr>
  </w:style>
  <w:style w:type="paragraph" w:customStyle="1" w:styleId="af3">
    <w:name w:val="资料来源"/>
    <w:link w:val="Char0"/>
    <w:qFormat/>
    <w:rsid w:val="001246BD"/>
    <w:pPr>
      <w:spacing w:after="120" w:line="240" w:lineRule="auto"/>
    </w:pPr>
    <w:rPr>
      <w:rFonts w:ascii="Arial" w:eastAsia="华文细黑" w:hAnsi="Arial" w:cs="Arial"/>
      <w:kern w:val="2"/>
      <w:sz w:val="14"/>
      <w:szCs w:val="18"/>
    </w:rPr>
  </w:style>
  <w:style w:type="character" w:customStyle="1" w:styleId="Char">
    <w:name w:val="图题 Char"/>
    <w:link w:val="af2"/>
    <w:rsid w:val="001246BD"/>
    <w:rPr>
      <w:rFonts w:ascii="Arial" w:eastAsia="黑体" w:hAnsi="Arial" w:cs="宋体"/>
      <w:color w:val="005587"/>
      <w:sz w:val="16"/>
      <w:szCs w:val="16"/>
      <w:lang w:val="zh-CN"/>
    </w:rPr>
  </w:style>
  <w:style w:type="paragraph" w:styleId="af4">
    <w:name w:val="table of figures"/>
    <w:basedOn w:val="a"/>
    <w:next w:val="a"/>
    <w:link w:val="af5"/>
    <w:uiPriority w:val="99"/>
    <w:unhideWhenUsed/>
    <w:rsid w:val="00B13DD3"/>
    <w:pPr>
      <w:ind w:leftChars="200" w:left="200" w:hangingChars="200" w:hanging="200"/>
    </w:pPr>
  </w:style>
  <w:style w:type="character" w:customStyle="1" w:styleId="Char0">
    <w:name w:val="资料来源 Char"/>
    <w:link w:val="af3"/>
    <w:rsid w:val="00131724"/>
    <w:rPr>
      <w:rFonts w:ascii="Arial" w:eastAsia="华文细黑" w:hAnsi="Arial" w:cs="Arial"/>
      <w:kern w:val="2"/>
      <w:sz w:val="14"/>
      <w:szCs w:val="18"/>
    </w:rPr>
  </w:style>
  <w:style w:type="paragraph" w:styleId="af6">
    <w:name w:val="Normal (Web)"/>
    <w:basedOn w:val="a"/>
    <w:uiPriority w:val="99"/>
    <w:semiHidden/>
    <w:unhideWhenUsed/>
    <w:rsid w:val="00CF2999"/>
    <w:pPr>
      <w:spacing w:before="100" w:beforeAutospacing="1" w:after="100" w:afterAutospacing="1" w:line="240" w:lineRule="auto"/>
      <w:ind w:right="0"/>
      <w:jc w:val="left"/>
    </w:pPr>
    <w:rPr>
      <w:rFonts w:ascii="宋体" w:eastAsia="宋体" w:hAnsi="宋体" w:cs="宋体"/>
      <w:sz w:val="24"/>
      <w:szCs w:val="24"/>
    </w:rPr>
  </w:style>
  <w:style w:type="paragraph" w:customStyle="1" w:styleId="af7">
    <w:name w:val="表格文字"/>
    <w:basedOn w:val="a"/>
    <w:rsid w:val="00DA3FF1"/>
    <w:pPr>
      <w:widowControl w:val="0"/>
      <w:spacing w:after="0" w:line="200" w:lineRule="exact"/>
      <w:ind w:right="0"/>
    </w:pPr>
    <w:rPr>
      <w:rFonts w:eastAsia="楷体_GB2312" w:cs="Times New Roman"/>
      <w:kern w:val="2"/>
      <w:sz w:val="16"/>
      <w:szCs w:val="24"/>
    </w:rPr>
  </w:style>
  <w:style w:type="paragraph" w:customStyle="1" w:styleId="v1">
    <w:name w:val="图表标题v1"/>
    <w:basedOn w:val="af4"/>
    <w:link w:val="v10"/>
    <w:qFormat/>
    <w:rsid w:val="007551B6"/>
    <w:pPr>
      <w:tabs>
        <w:tab w:val="right" w:leader="dot" w:pos="10076"/>
      </w:tabs>
      <w:spacing w:after="0"/>
      <w:ind w:leftChars="0" w:left="840" w:right="21" w:hangingChars="400" w:hanging="840"/>
    </w:pPr>
    <w:rPr>
      <w:noProof/>
    </w:rPr>
  </w:style>
  <w:style w:type="character" w:customStyle="1" w:styleId="af5">
    <w:name w:val="图表目录 字符"/>
    <w:basedOn w:val="a0"/>
    <w:link w:val="af4"/>
    <w:uiPriority w:val="99"/>
    <w:rsid w:val="007551B6"/>
    <w:rPr>
      <w:rFonts w:ascii="Times New Roman" w:eastAsia="楷体" w:hAnsi="Times New Roman"/>
      <w:sz w:val="21"/>
    </w:rPr>
  </w:style>
  <w:style w:type="character" w:customStyle="1" w:styleId="v10">
    <w:name w:val="图表标题v1 字符"/>
    <w:basedOn w:val="af5"/>
    <w:link w:val="v1"/>
    <w:rsid w:val="007551B6"/>
    <w:rPr>
      <w:rFonts w:ascii="Times New Roman" w:eastAsia="楷体" w:hAnsi="Times New Roman"/>
      <w:noProof/>
      <w:sz w:val="21"/>
    </w:rPr>
  </w:style>
  <w:style w:type="character" w:styleId="af8">
    <w:name w:val="Unresolved Mention"/>
    <w:basedOn w:val="a0"/>
    <w:uiPriority w:val="99"/>
    <w:semiHidden/>
    <w:unhideWhenUsed/>
    <w:rsid w:val="00495211"/>
    <w:rPr>
      <w:color w:val="605E5C"/>
      <w:shd w:val="clear" w:color="auto" w:fill="E1DFDD"/>
    </w:rPr>
  </w:style>
  <w:style w:type="paragraph" w:customStyle="1" w:styleId="msonormal0">
    <w:name w:val="msonormal"/>
    <w:basedOn w:val="a"/>
    <w:rsid w:val="00D521A5"/>
    <w:pPr>
      <w:spacing w:before="100" w:beforeAutospacing="1" w:after="100" w:afterAutospacing="1" w:line="240" w:lineRule="auto"/>
      <w:ind w:right="0"/>
      <w:jc w:val="left"/>
    </w:pPr>
    <w:rPr>
      <w:rFonts w:ascii="宋体" w:eastAsia="宋体" w:hAnsi="宋体" w:cs="宋体"/>
      <w:sz w:val="24"/>
      <w:szCs w:val="24"/>
    </w:rPr>
  </w:style>
  <w:style w:type="paragraph" w:customStyle="1" w:styleId="font6">
    <w:name w:val="font6"/>
    <w:basedOn w:val="a"/>
    <w:rsid w:val="00D521A5"/>
    <w:pPr>
      <w:spacing w:before="100" w:beforeAutospacing="1" w:after="100" w:afterAutospacing="1" w:line="240" w:lineRule="auto"/>
      <w:ind w:right="0"/>
      <w:jc w:val="left"/>
    </w:pPr>
    <w:rPr>
      <w:rFonts w:eastAsia="宋体" w:cs="Times New Roman"/>
      <w:color w:val="000000"/>
      <w:sz w:val="22"/>
    </w:rPr>
  </w:style>
  <w:style w:type="paragraph" w:customStyle="1" w:styleId="font7">
    <w:name w:val="font7"/>
    <w:basedOn w:val="a"/>
    <w:rsid w:val="00D521A5"/>
    <w:pPr>
      <w:spacing w:before="100" w:beforeAutospacing="1" w:after="100" w:afterAutospacing="1" w:line="240" w:lineRule="auto"/>
      <w:ind w:right="0"/>
      <w:jc w:val="left"/>
    </w:pPr>
    <w:rPr>
      <w:rFonts w:ascii="宋体" w:eastAsia="宋体" w:hAnsi="宋体" w:cs="宋体"/>
      <w:sz w:val="18"/>
      <w:szCs w:val="18"/>
    </w:rPr>
  </w:style>
  <w:style w:type="paragraph" w:customStyle="1" w:styleId="font8">
    <w:name w:val="font8"/>
    <w:basedOn w:val="a"/>
    <w:rsid w:val="00D521A5"/>
    <w:pPr>
      <w:spacing w:before="100" w:beforeAutospacing="1" w:after="100" w:afterAutospacing="1" w:line="240" w:lineRule="auto"/>
      <w:ind w:right="0"/>
      <w:jc w:val="left"/>
    </w:pPr>
    <w:rPr>
      <w:rFonts w:ascii="楷体" w:hAnsi="楷体" w:cs="宋体"/>
      <w:b/>
      <w:bCs/>
      <w:color w:val="000000"/>
      <w:sz w:val="22"/>
    </w:rPr>
  </w:style>
  <w:style w:type="paragraph" w:customStyle="1" w:styleId="font9">
    <w:name w:val="font9"/>
    <w:basedOn w:val="a"/>
    <w:rsid w:val="00D521A5"/>
    <w:pPr>
      <w:spacing w:before="100" w:beforeAutospacing="1" w:after="100" w:afterAutospacing="1" w:line="240" w:lineRule="auto"/>
      <w:ind w:right="0"/>
      <w:jc w:val="left"/>
    </w:pPr>
    <w:rPr>
      <w:rFonts w:ascii="楷体" w:hAnsi="楷体" w:cs="宋体"/>
      <w:color w:val="000000"/>
      <w:sz w:val="22"/>
    </w:rPr>
  </w:style>
  <w:style w:type="paragraph" w:styleId="af9">
    <w:name w:val="Date"/>
    <w:basedOn w:val="a"/>
    <w:next w:val="a"/>
    <w:link w:val="afa"/>
    <w:uiPriority w:val="99"/>
    <w:semiHidden/>
    <w:unhideWhenUsed/>
    <w:rsid w:val="008D45CF"/>
    <w:pPr>
      <w:ind w:leftChars="2500" w:left="100"/>
    </w:pPr>
  </w:style>
  <w:style w:type="character" w:customStyle="1" w:styleId="afa">
    <w:name w:val="日期 字符"/>
    <w:basedOn w:val="a0"/>
    <w:link w:val="af9"/>
    <w:uiPriority w:val="99"/>
    <w:semiHidden/>
    <w:rsid w:val="008D45CF"/>
    <w:rPr>
      <w:rFonts w:ascii="Times New Roman" w:eastAsia="楷体"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68868">
      <w:bodyDiv w:val="1"/>
      <w:marLeft w:val="0"/>
      <w:marRight w:val="0"/>
      <w:marTop w:val="0"/>
      <w:marBottom w:val="0"/>
      <w:divBdr>
        <w:top w:val="none" w:sz="0" w:space="0" w:color="auto"/>
        <w:left w:val="none" w:sz="0" w:space="0" w:color="auto"/>
        <w:bottom w:val="none" w:sz="0" w:space="0" w:color="auto"/>
        <w:right w:val="none" w:sz="0" w:space="0" w:color="auto"/>
      </w:divBdr>
    </w:div>
    <w:div w:id="75128932">
      <w:bodyDiv w:val="1"/>
      <w:marLeft w:val="0"/>
      <w:marRight w:val="0"/>
      <w:marTop w:val="0"/>
      <w:marBottom w:val="0"/>
      <w:divBdr>
        <w:top w:val="none" w:sz="0" w:space="0" w:color="auto"/>
        <w:left w:val="none" w:sz="0" w:space="0" w:color="auto"/>
        <w:bottom w:val="none" w:sz="0" w:space="0" w:color="auto"/>
        <w:right w:val="none" w:sz="0" w:space="0" w:color="auto"/>
      </w:divBdr>
    </w:div>
    <w:div w:id="98962218">
      <w:bodyDiv w:val="1"/>
      <w:marLeft w:val="0"/>
      <w:marRight w:val="0"/>
      <w:marTop w:val="0"/>
      <w:marBottom w:val="0"/>
      <w:divBdr>
        <w:top w:val="none" w:sz="0" w:space="0" w:color="auto"/>
        <w:left w:val="none" w:sz="0" w:space="0" w:color="auto"/>
        <w:bottom w:val="none" w:sz="0" w:space="0" w:color="auto"/>
        <w:right w:val="none" w:sz="0" w:space="0" w:color="auto"/>
      </w:divBdr>
    </w:div>
    <w:div w:id="101462087">
      <w:bodyDiv w:val="1"/>
      <w:marLeft w:val="0"/>
      <w:marRight w:val="0"/>
      <w:marTop w:val="0"/>
      <w:marBottom w:val="0"/>
      <w:divBdr>
        <w:top w:val="none" w:sz="0" w:space="0" w:color="auto"/>
        <w:left w:val="none" w:sz="0" w:space="0" w:color="auto"/>
        <w:bottom w:val="none" w:sz="0" w:space="0" w:color="auto"/>
        <w:right w:val="none" w:sz="0" w:space="0" w:color="auto"/>
      </w:divBdr>
    </w:div>
    <w:div w:id="104883187">
      <w:bodyDiv w:val="1"/>
      <w:marLeft w:val="0"/>
      <w:marRight w:val="0"/>
      <w:marTop w:val="0"/>
      <w:marBottom w:val="0"/>
      <w:divBdr>
        <w:top w:val="none" w:sz="0" w:space="0" w:color="auto"/>
        <w:left w:val="none" w:sz="0" w:space="0" w:color="auto"/>
        <w:bottom w:val="none" w:sz="0" w:space="0" w:color="auto"/>
        <w:right w:val="none" w:sz="0" w:space="0" w:color="auto"/>
      </w:divBdr>
    </w:div>
    <w:div w:id="162823458">
      <w:bodyDiv w:val="1"/>
      <w:marLeft w:val="0"/>
      <w:marRight w:val="0"/>
      <w:marTop w:val="0"/>
      <w:marBottom w:val="0"/>
      <w:divBdr>
        <w:top w:val="none" w:sz="0" w:space="0" w:color="auto"/>
        <w:left w:val="none" w:sz="0" w:space="0" w:color="auto"/>
        <w:bottom w:val="none" w:sz="0" w:space="0" w:color="auto"/>
        <w:right w:val="none" w:sz="0" w:space="0" w:color="auto"/>
      </w:divBdr>
    </w:div>
    <w:div w:id="173617720">
      <w:bodyDiv w:val="1"/>
      <w:marLeft w:val="0"/>
      <w:marRight w:val="0"/>
      <w:marTop w:val="0"/>
      <w:marBottom w:val="0"/>
      <w:divBdr>
        <w:top w:val="none" w:sz="0" w:space="0" w:color="auto"/>
        <w:left w:val="none" w:sz="0" w:space="0" w:color="auto"/>
        <w:bottom w:val="none" w:sz="0" w:space="0" w:color="auto"/>
        <w:right w:val="none" w:sz="0" w:space="0" w:color="auto"/>
      </w:divBdr>
    </w:div>
    <w:div w:id="182329923">
      <w:bodyDiv w:val="1"/>
      <w:marLeft w:val="0"/>
      <w:marRight w:val="0"/>
      <w:marTop w:val="0"/>
      <w:marBottom w:val="0"/>
      <w:divBdr>
        <w:top w:val="none" w:sz="0" w:space="0" w:color="auto"/>
        <w:left w:val="none" w:sz="0" w:space="0" w:color="auto"/>
        <w:bottom w:val="none" w:sz="0" w:space="0" w:color="auto"/>
        <w:right w:val="none" w:sz="0" w:space="0" w:color="auto"/>
      </w:divBdr>
    </w:div>
    <w:div w:id="189147174">
      <w:bodyDiv w:val="1"/>
      <w:marLeft w:val="0"/>
      <w:marRight w:val="0"/>
      <w:marTop w:val="0"/>
      <w:marBottom w:val="0"/>
      <w:divBdr>
        <w:top w:val="none" w:sz="0" w:space="0" w:color="auto"/>
        <w:left w:val="none" w:sz="0" w:space="0" w:color="auto"/>
        <w:bottom w:val="none" w:sz="0" w:space="0" w:color="auto"/>
        <w:right w:val="none" w:sz="0" w:space="0" w:color="auto"/>
      </w:divBdr>
    </w:div>
    <w:div w:id="213467035">
      <w:bodyDiv w:val="1"/>
      <w:marLeft w:val="0"/>
      <w:marRight w:val="0"/>
      <w:marTop w:val="0"/>
      <w:marBottom w:val="0"/>
      <w:divBdr>
        <w:top w:val="none" w:sz="0" w:space="0" w:color="auto"/>
        <w:left w:val="none" w:sz="0" w:space="0" w:color="auto"/>
        <w:bottom w:val="none" w:sz="0" w:space="0" w:color="auto"/>
        <w:right w:val="none" w:sz="0" w:space="0" w:color="auto"/>
      </w:divBdr>
    </w:div>
    <w:div w:id="224991211">
      <w:bodyDiv w:val="1"/>
      <w:marLeft w:val="0"/>
      <w:marRight w:val="0"/>
      <w:marTop w:val="0"/>
      <w:marBottom w:val="0"/>
      <w:divBdr>
        <w:top w:val="none" w:sz="0" w:space="0" w:color="auto"/>
        <w:left w:val="none" w:sz="0" w:space="0" w:color="auto"/>
        <w:bottom w:val="none" w:sz="0" w:space="0" w:color="auto"/>
        <w:right w:val="none" w:sz="0" w:space="0" w:color="auto"/>
      </w:divBdr>
    </w:div>
    <w:div w:id="242835472">
      <w:bodyDiv w:val="1"/>
      <w:marLeft w:val="0"/>
      <w:marRight w:val="0"/>
      <w:marTop w:val="0"/>
      <w:marBottom w:val="0"/>
      <w:divBdr>
        <w:top w:val="none" w:sz="0" w:space="0" w:color="auto"/>
        <w:left w:val="none" w:sz="0" w:space="0" w:color="auto"/>
        <w:bottom w:val="none" w:sz="0" w:space="0" w:color="auto"/>
        <w:right w:val="none" w:sz="0" w:space="0" w:color="auto"/>
      </w:divBdr>
    </w:div>
    <w:div w:id="245651400">
      <w:bodyDiv w:val="1"/>
      <w:marLeft w:val="0"/>
      <w:marRight w:val="0"/>
      <w:marTop w:val="0"/>
      <w:marBottom w:val="0"/>
      <w:divBdr>
        <w:top w:val="none" w:sz="0" w:space="0" w:color="auto"/>
        <w:left w:val="none" w:sz="0" w:space="0" w:color="auto"/>
        <w:bottom w:val="none" w:sz="0" w:space="0" w:color="auto"/>
        <w:right w:val="none" w:sz="0" w:space="0" w:color="auto"/>
      </w:divBdr>
    </w:div>
    <w:div w:id="266816757">
      <w:bodyDiv w:val="1"/>
      <w:marLeft w:val="0"/>
      <w:marRight w:val="0"/>
      <w:marTop w:val="0"/>
      <w:marBottom w:val="0"/>
      <w:divBdr>
        <w:top w:val="none" w:sz="0" w:space="0" w:color="auto"/>
        <w:left w:val="none" w:sz="0" w:space="0" w:color="auto"/>
        <w:bottom w:val="none" w:sz="0" w:space="0" w:color="auto"/>
        <w:right w:val="none" w:sz="0" w:space="0" w:color="auto"/>
      </w:divBdr>
    </w:div>
    <w:div w:id="282812397">
      <w:bodyDiv w:val="1"/>
      <w:marLeft w:val="0"/>
      <w:marRight w:val="0"/>
      <w:marTop w:val="0"/>
      <w:marBottom w:val="0"/>
      <w:divBdr>
        <w:top w:val="none" w:sz="0" w:space="0" w:color="auto"/>
        <w:left w:val="none" w:sz="0" w:space="0" w:color="auto"/>
        <w:bottom w:val="none" w:sz="0" w:space="0" w:color="auto"/>
        <w:right w:val="none" w:sz="0" w:space="0" w:color="auto"/>
      </w:divBdr>
    </w:div>
    <w:div w:id="288974753">
      <w:bodyDiv w:val="1"/>
      <w:marLeft w:val="0"/>
      <w:marRight w:val="0"/>
      <w:marTop w:val="0"/>
      <w:marBottom w:val="0"/>
      <w:divBdr>
        <w:top w:val="none" w:sz="0" w:space="0" w:color="auto"/>
        <w:left w:val="none" w:sz="0" w:space="0" w:color="auto"/>
        <w:bottom w:val="none" w:sz="0" w:space="0" w:color="auto"/>
        <w:right w:val="none" w:sz="0" w:space="0" w:color="auto"/>
      </w:divBdr>
    </w:div>
    <w:div w:id="295261991">
      <w:bodyDiv w:val="1"/>
      <w:marLeft w:val="0"/>
      <w:marRight w:val="0"/>
      <w:marTop w:val="0"/>
      <w:marBottom w:val="0"/>
      <w:divBdr>
        <w:top w:val="none" w:sz="0" w:space="0" w:color="auto"/>
        <w:left w:val="none" w:sz="0" w:space="0" w:color="auto"/>
        <w:bottom w:val="none" w:sz="0" w:space="0" w:color="auto"/>
        <w:right w:val="none" w:sz="0" w:space="0" w:color="auto"/>
      </w:divBdr>
    </w:div>
    <w:div w:id="299766829">
      <w:bodyDiv w:val="1"/>
      <w:marLeft w:val="0"/>
      <w:marRight w:val="0"/>
      <w:marTop w:val="0"/>
      <w:marBottom w:val="0"/>
      <w:divBdr>
        <w:top w:val="none" w:sz="0" w:space="0" w:color="auto"/>
        <w:left w:val="none" w:sz="0" w:space="0" w:color="auto"/>
        <w:bottom w:val="none" w:sz="0" w:space="0" w:color="auto"/>
        <w:right w:val="none" w:sz="0" w:space="0" w:color="auto"/>
      </w:divBdr>
    </w:div>
    <w:div w:id="300618900">
      <w:bodyDiv w:val="1"/>
      <w:marLeft w:val="0"/>
      <w:marRight w:val="0"/>
      <w:marTop w:val="0"/>
      <w:marBottom w:val="0"/>
      <w:divBdr>
        <w:top w:val="none" w:sz="0" w:space="0" w:color="auto"/>
        <w:left w:val="none" w:sz="0" w:space="0" w:color="auto"/>
        <w:bottom w:val="none" w:sz="0" w:space="0" w:color="auto"/>
        <w:right w:val="none" w:sz="0" w:space="0" w:color="auto"/>
      </w:divBdr>
    </w:div>
    <w:div w:id="302081602">
      <w:bodyDiv w:val="1"/>
      <w:marLeft w:val="0"/>
      <w:marRight w:val="0"/>
      <w:marTop w:val="0"/>
      <w:marBottom w:val="0"/>
      <w:divBdr>
        <w:top w:val="none" w:sz="0" w:space="0" w:color="auto"/>
        <w:left w:val="none" w:sz="0" w:space="0" w:color="auto"/>
        <w:bottom w:val="none" w:sz="0" w:space="0" w:color="auto"/>
        <w:right w:val="none" w:sz="0" w:space="0" w:color="auto"/>
      </w:divBdr>
    </w:div>
    <w:div w:id="306786163">
      <w:bodyDiv w:val="1"/>
      <w:marLeft w:val="0"/>
      <w:marRight w:val="0"/>
      <w:marTop w:val="0"/>
      <w:marBottom w:val="0"/>
      <w:divBdr>
        <w:top w:val="none" w:sz="0" w:space="0" w:color="auto"/>
        <w:left w:val="none" w:sz="0" w:space="0" w:color="auto"/>
        <w:bottom w:val="none" w:sz="0" w:space="0" w:color="auto"/>
        <w:right w:val="none" w:sz="0" w:space="0" w:color="auto"/>
      </w:divBdr>
    </w:div>
    <w:div w:id="338507234">
      <w:bodyDiv w:val="1"/>
      <w:marLeft w:val="0"/>
      <w:marRight w:val="0"/>
      <w:marTop w:val="0"/>
      <w:marBottom w:val="0"/>
      <w:divBdr>
        <w:top w:val="none" w:sz="0" w:space="0" w:color="auto"/>
        <w:left w:val="none" w:sz="0" w:space="0" w:color="auto"/>
        <w:bottom w:val="none" w:sz="0" w:space="0" w:color="auto"/>
        <w:right w:val="none" w:sz="0" w:space="0" w:color="auto"/>
      </w:divBdr>
    </w:div>
    <w:div w:id="351764059">
      <w:bodyDiv w:val="1"/>
      <w:marLeft w:val="0"/>
      <w:marRight w:val="0"/>
      <w:marTop w:val="0"/>
      <w:marBottom w:val="0"/>
      <w:divBdr>
        <w:top w:val="none" w:sz="0" w:space="0" w:color="auto"/>
        <w:left w:val="none" w:sz="0" w:space="0" w:color="auto"/>
        <w:bottom w:val="none" w:sz="0" w:space="0" w:color="auto"/>
        <w:right w:val="none" w:sz="0" w:space="0" w:color="auto"/>
      </w:divBdr>
    </w:div>
    <w:div w:id="358707290">
      <w:bodyDiv w:val="1"/>
      <w:marLeft w:val="0"/>
      <w:marRight w:val="0"/>
      <w:marTop w:val="0"/>
      <w:marBottom w:val="0"/>
      <w:divBdr>
        <w:top w:val="none" w:sz="0" w:space="0" w:color="auto"/>
        <w:left w:val="none" w:sz="0" w:space="0" w:color="auto"/>
        <w:bottom w:val="none" w:sz="0" w:space="0" w:color="auto"/>
        <w:right w:val="none" w:sz="0" w:space="0" w:color="auto"/>
      </w:divBdr>
    </w:div>
    <w:div w:id="373116188">
      <w:bodyDiv w:val="1"/>
      <w:marLeft w:val="0"/>
      <w:marRight w:val="0"/>
      <w:marTop w:val="0"/>
      <w:marBottom w:val="0"/>
      <w:divBdr>
        <w:top w:val="none" w:sz="0" w:space="0" w:color="auto"/>
        <w:left w:val="none" w:sz="0" w:space="0" w:color="auto"/>
        <w:bottom w:val="none" w:sz="0" w:space="0" w:color="auto"/>
        <w:right w:val="none" w:sz="0" w:space="0" w:color="auto"/>
      </w:divBdr>
    </w:div>
    <w:div w:id="390348507">
      <w:bodyDiv w:val="1"/>
      <w:marLeft w:val="0"/>
      <w:marRight w:val="0"/>
      <w:marTop w:val="0"/>
      <w:marBottom w:val="0"/>
      <w:divBdr>
        <w:top w:val="none" w:sz="0" w:space="0" w:color="auto"/>
        <w:left w:val="none" w:sz="0" w:space="0" w:color="auto"/>
        <w:bottom w:val="none" w:sz="0" w:space="0" w:color="auto"/>
        <w:right w:val="none" w:sz="0" w:space="0" w:color="auto"/>
      </w:divBdr>
    </w:div>
    <w:div w:id="400104495">
      <w:bodyDiv w:val="1"/>
      <w:marLeft w:val="0"/>
      <w:marRight w:val="0"/>
      <w:marTop w:val="0"/>
      <w:marBottom w:val="0"/>
      <w:divBdr>
        <w:top w:val="none" w:sz="0" w:space="0" w:color="auto"/>
        <w:left w:val="none" w:sz="0" w:space="0" w:color="auto"/>
        <w:bottom w:val="none" w:sz="0" w:space="0" w:color="auto"/>
        <w:right w:val="none" w:sz="0" w:space="0" w:color="auto"/>
      </w:divBdr>
    </w:div>
    <w:div w:id="416101319">
      <w:bodyDiv w:val="1"/>
      <w:marLeft w:val="0"/>
      <w:marRight w:val="0"/>
      <w:marTop w:val="0"/>
      <w:marBottom w:val="0"/>
      <w:divBdr>
        <w:top w:val="none" w:sz="0" w:space="0" w:color="auto"/>
        <w:left w:val="none" w:sz="0" w:space="0" w:color="auto"/>
        <w:bottom w:val="none" w:sz="0" w:space="0" w:color="auto"/>
        <w:right w:val="none" w:sz="0" w:space="0" w:color="auto"/>
      </w:divBdr>
    </w:div>
    <w:div w:id="424110427">
      <w:bodyDiv w:val="1"/>
      <w:marLeft w:val="0"/>
      <w:marRight w:val="0"/>
      <w:marTop w:val="0"/>
      <w:marBottom w:val="0"/>
      <w:divBdr>
        <w:top w:val="none" w:sz="0" w:space="0" w:color="auto"/>
        <w:left w:val="none" w:sz="0" w:space="0" w:color="auto"/>
        <w:bottom w:val="none" w:sz="0" w:space="0" w:color="auto"/>
        <w:right w:val="none" w:sz="0" w:space="0" w:color="auto"/>
      </w:divBdr>
    </w:div>
    <w:div w:id="448208650">
      <w:bodyDiv w:val="1"/>
      <w:marLeft w:val="0"/>
      <w:marRight w:val="0"/>
      <w:marTop w:val="0"/>
      <w:marBottom w:val="0"/>
      <w:divBdr>
        <w:top w:val="none" w:sz="0" w:space="0" w:color="auto"/>
        <w:left w:val="none" w:sz="0" w:space="0" w:color="auto"/>
        <w:bottom w:val="none" w:sz="0" w:space="0" w:color="auto"/>
        <w:right w:val="none" w:sz="0" w:space="0" w:color="auto"/>
      </w:divBdr>
    </w:div>
    <w:div w:id="465897823">
      <w:bodyDiv w:val="1"/>
      <w:marLeft w:val="0"/>
      <w:marRight w:val="0"/>
      <w:marTop w:val="0"/>
      <w:marBottom w:val="0"/>
      <w:divBdr>
        <w:top w:val="none" w:sz="0" w:space="0" w:color="auto"/>
        <w:left w:val="none" w:sz="0" w:space="0" w:color="auto"/>
        <w:bottom w:val="none" w:sz="0" w:space="0" w:color="auto"/>
        <w:right w:val="none" w:sz="0" w:space="0" w:color="auto"/>
      </w:divBdr>
    </w:div>
    <w:div w:id="467669927">
      <w:bodyDiv w:val="1"/>
      <w:marLeft w:val="0"/>
      <w:marRight w:val="0"/>
      <w:marTop w:val="0"/>
      <w:marBottom w:val="0"/>
      <w:divBdr>
        <w:top w:val="none" w:sz="0" w:space="0" w:color="auto"/>
        <w:left w:val="none" w:sz="0" w:space="0" w:color="auto"/>
        <w:bottom w:val="none" w:sz="0" w:space="0" w:color="auto"/>
        <w:right w:val="none" w:sz="0" w:space="0" w:color="auto"/>
      </w:divBdr>
    </w:div>
    <w:div w:id="496726795">
      <w:bodyDiv w:val="1"/>
      <w:marLeft w:val="0"/>
      <w:marRight w:val="0"/>
      <w:marTop w:val="0"/>
      <w:marBottom w:val="0"/>
      <w:divBdr>
        <w:top w:val="none" w:sz="0" w:space="0" w:color="auto"/>
        <w:left w:val="none" w:sz="0" w:space="0" w:color="auto"/>
        <w:bottom w:val="none" w:sz="0" w:space="0" w:color="auto"/>
        <w:right w:val="none" w:sz="0" w:space="0" w:color="auto"/>
      </w:divBdr>
    </w:div>
    <w:div w:id="497575309">
      <w:bodyDiv w:val="1"/>
      <w:marLeft w:val="0"/>
      <w:marRight w:val="0"/>
      <w:marTop w:val="0"/>
      <w:marBottom w:val="0"/>
      <w:divBdr>
        <w:top w:val="none" w:sz="0" w:space="0" w:color="auto"/>
        <w:left w:val="none" w:sz="0" w:space="0" w:color="auto"/>
        <w:bottom w:val="none" w:sz="0" w:space="0" w:color="auto"/>
        <w:right w:val="none" w:sz="0" w:space="0" w:color="auto"/>
      </w:divBdr>
    </w:div>
    <w:div w:id="505829061">
      <w:bodyDiv w:val="1"/>
      <w:marLeft w:val="0"/>
      <w:marRight w:val="0"/>
      <w:marTop w:val="0"/>
      <w:marBottom w:val="0"/>
      <w:divBdr>
        <w:top w:val="none" w:sz="0" w:space="0" w:color="auto"/>
        <w:left w:val="none" w:sz="0" w:space="0" w:color="auto"/>
        <w:bottom w:val="none" w:sz="0" w:space="0" w:color="auto"/>
        <w:right w:val="none" w:sz="0" w:space="0" w:color="auto"/>
      </w:divBdr>
    </w:div>
    <w:div w:id="529148710">
      <w:bodyDiv w:val="1"/>
      <w:marLeft w:val="0"/>
      <w:marRight w:val="0"/>
      <w:marTop w:val="0"/>
      <w:marBottom w:val="0"/>
      <w:divBdr>
        <w:top w:val="none" w:sz="0" w:space="0" w:color="auto"/>
        <w:left w:val="none" w:sz="0" w:space="0" w:color="auto"/>
        <w:bottom w:val="none" w:sz="0" w:space="0" w:color="auto"/>
        <w:right w:val="none" w:sz="0" w:space="0" w:color="auto"/>
      </w:divBdr>
    </w:div>
    <w:div w:id="540166456">
      <w:bodyDiv w:val="1"/>
      <w:marLeft w:val="0"/>
      <w:marRight w:val="0"/>
      <w:marTop w:val="0"/>
      <w:marBottom w:val="0"/>
      <w:divBdr>
        <w:top w:val="none" w:sz="0" w:space="0" w:color="auto"/>
        <w:left w:val="none" w:sz="0" w:space="0" w:color="auto"/>
        <w:bottom w:val="none" w:sz="0" w:space="0" w:color="auto"/>
        <w:right w:val="none" w:sz="0" w:space="0" w:color="auto"/>
      </w:divBdr>
    </w:div>
    <w:div w:id="550385763">
      <w:bodyDiv w:val="1"/>
      <w:marLeft w:val="0"/>
      <w:marRight w:val="0"/>
      <w:marTop w:val="0"/>
      <w:marBottom w:val="0"/>
      <w:divBdr>
        <w:top w:val="none" w:sz="0" w:space="0" w:color="auto"/>
        <w:left w:val="none" w:sz="0" w:space="0" w:color="auto"/>
        <w:bottom w:val="none" w:sz="0" w:space="0" w:color="auto"/>
        <w:right w:val="none" w:sz="0" w:space="0" w:color="auto"/>
      </w:divBdr>
    </w:div>
    <w:div w:id="550582636">
      <w:bodyDiv w:val="1"/>
      <w:marLeft w:val="0"/>
      <w:marRight w:val="0"/>
      <w:marTop w:val="0"/>
      <w:marBottom w:val="0"/>
      <w:divBdr>
        <w:top w:val="none" w:sz="0" w:space="0" w:color="auto"/>
        <w:left w:val="none" w:sz="0" w:space="0" w:color="auto"/>
        <w:bottom w:val="none" w:sz="0" w:space="0" w:color="auto"/>
        <w:right w:val="none" w:sz="0" w:space="0" w:color="auto"/>
      </w:divBdr>
    </w:div>
    <w:div w:id="557283391">
      <w:bodyDiv w:val="1"/>
      <w:marLeft w:val="0"/>
      <w:marRight w:val="0"/>
      <w:marTop w:val="0"/>
      <w:marBottom w:val="0"/>
      <w:divBdr>
        <w:top w:val="none" w:sz="0" w:space="0" w:color="auto"/>
        <w:left w:val="none" w:sz="0" w:space="0" w:color="auto"/>
        <w:bottom w:val="none" w:sz="0" w:space="0" w:color="auto"/>
        <w:right w:val="none" w:sz="0" w:space="0" w:color="auto"/>
      </w:divBdr>
    </w:div>
    <w:div w:id="576793529">
      <w:bodyDiv w:val="1"/>
      <w:marLeft w:val="0"/>
      <w:marRight w:val="0"/>
      <w:marTop w:val="0"/>
      <w:marBottom w:val="0"/>
      <w:divBdr>
        <w:top w:val="none" w:sz="0" w:space="0" w:color="auto"/>
        <w:left w:val="none" w:sz="0" w:space="0" w:color="auto"/>
        <w:bottom w:val="none" w:sz="0" w:space="0" w:color="auto"/>
        <w:right w:val="none" w:sz="0" w:space="0" w:color="auto"/>
      </w:divBdr>
    </w:div>
    <w:div w:id="584001661">
      <w:bodyDiv w:val="1"/>
      <w:marLeft w:val="0"/>
      <w:marRight w:val="0"/>
      <w:marTop w:val="0"/>
      <w:marBottom w:val="0"/>
      <w:divBdr>
        <w:top w:val="none" w:sz="0" w:space="0" w:color="auto"/>
        <w:left w:val="none" w:sz="0" w:space="0" w:color="auto"/>
        <w:bottom w:val="none" w:sz="0" w:space="0" w:color="auto"/>
        <w:right w:val="none" w:sz="0" w:space="0" w:color="auto"/>
      </w:divBdr>
    </w:div>
    <w:div w:id="590089191">
      <w:bodyDiv w:val="1"/>
      <w:marLeft w:val="0"/>
      <w:marRight w:val="0"/>
      <w:marTop w:val="0"/>
      <w:marBottom w:val="0"/>
      <w:divBdr>
        <w:top w:val="none" w:sz="0" w:space="0" w:color="auto"/>
        <w:left w:val="none" w:sz="0" w:space="0" w:color="auto"/>
        <w:bottom w:val="none" w:sz="0" w:space="0" w:color="auto"/>
        <w:right w:val="none" w:sz="0" w:space="0" w:color="auto"/>
      </w:divBdr>
    </w:div>
    <w:div w:id="607395898">
      <w:bodyDiv w:val="1"/>
      <w:marLeft w:val="0"/>
      <w:marRight w:val="0"/>
      <w:marTop w:val="0"/>
      <w:marBottom w:val="0"/>
      <w:divBdr>
        <w:top w:val="none" w:sz="0" w:space="0" w:color="auto"/>
        <w:left w:val="none" w:sz="0" w:space="0" w:color="auto"/>
        <w:bottom w:val="none" w:sz="0" w:space="0" w:color="auto"/>
        <w:right w:val="none" w:sz="0" w:space="0" w:color="auto"/>
      </w:divBdr>
    </w:div>
    <w:div w:id="611280781">
      <w:bodyDiv w:val="1"/>
      <w:marLeft w:val="0"/>
      <w:marRight w:val="0"/>
      <w:marTop w:val="0"/>
      <w:marBottom w:val="0"/>
      <w:divBdr>
        <w:top w:val="none" w:sz="0" w:space="0" w:color="auto"/>
        <w:left w:val="none" w:sz="0" w:space="0" w:color="auto"/>
        <w:bottom w:val="none" w:sz="0" w:space="0" w:color="auto"/>
        <w:right w:val="none" w:sz="0" w:space="0" w:color="auto"/>
      </w:divBdr>
    </w:div>
    <w:div w:id="612786813">
      <w:bodyDiv w:val="1"/>
      <w:marLeft w:val="0"/>
      <w:marRight w:val="0"/>
      <w:marTop w:val="0"/>
      <w:marBottom w:val="0"/>
      <w:divBdr>
        <w:top w:val="none" w:sz="0" w:space="0" w:color="auto"/>
        <w:left w:val="none" w:sz="0" w:space="0" w:color="auto"/>
        <w:bottom w:val="none" w:sz="0" w:space="0" w:color="auto"/>
        <w:right w:val="none" w:sz="0" w:space="0" w:color="auto"/>
      </w:divBdr>
    </w:div>
    <w:div w:id="620265067">
      <w:bodyDiv w:val="1"/>
      <w:marLeft w:val="0"/>
      <w:marRight w:val="0"/>
      <w:marTop w:val="0"/>
      <w:marBottom w:val="0"/>
      <w:divBdr>
        <w:top w:val="none" w:sz="0" w:space="0" w:color="auto"/>
        <w:left w:val="none" w:sz="0" w:space="0" w:color="auto"/>
        <w:bottom w:val="none" w:sz="0" w:space="0" w:color="auto"/>
        <w:right w:val="none" w:sz="0" w:space="0" w:color="auto"/>
      </w:divBdr>
    </w:div>
    <w:div w:id="650719392">
      <w:bodyDiv w:val="1"/>
      <w:marLeft w:val="0"/>
      <w:marRight w:val="0"/>
      <w:marTop w:val="0"/>
      <w:marBottom w:val="0"/>
      <w:divBdr>
        <w:top w:val="none" w:sz="0" w:space="0" w:color="auto"/>
        <w:left w:val="none" w:sz="0" w:space="0" w:color="auto"/>
        <w:bottom w:val="none" w:sz="0" w:space="0" w:color="auto"/>
        <w:right w:val="none" w:sz="0" w:space="0" w:color="auto"/>
      </w:divBdr>
    </w:div>
    <w:div w:id="652102602">
      <w:bodyDiv w:val="1"/>
      <w:marLeft w:val="0"/>
      <w:marRight w:val="0"/>
      <w:marTop w:val="0"/>
      <w:marBottom w:val="0"/>
      <w:divBdr>
        <w:top w:val="none" w:sz="0" w:space="0" w:color="auto"/>
        <w:left w:val="none" w:sz="0" w:space="0" w:color="auto"/>
        <w:bottom w:val="none" w:sz="0" w:space="0" w:color="auto"/>
        <w:right w:val="none" w:sz="0" w:space="0" w:color="auto"/>
      </w:divBdr>
    </w:div>
    <w:div w:id="666398613">
      <w:bodyDiv w:val="1"/>
      <w:marLeft w:val="0"/>
      <w:marRight w:val="0"/>
      <w:marTop w:val="0"/>
      <w:marBottom w:val="0"/>
      <w:divBdr>
        <w:top w:val="none" w:sz="0" w:space="0" w:color="auto"/>
        <w:left w:val="none" w:sz="0" w:space="0" w:color="auto"/>
        <w:bottom w:val="none" w:sz="0" w:space="0" w:color="auto"/>
        <w:right w:val="none" w:sz="0" w:space="0" w:color="auto"/>
      </w:divBdr>
    </w:div>
    <w:div w:id="674266111">
      <w:bodyDiv w:val="1"/>
      <w:marLeft w:val="0"/>
      <w:marRight w:val="0"/>
      <w:marTop w:val="0"/>
      <w:marBottom w:val="0"/>
      <w:divBdr>
        <w:top w:val="none" w:sz="0" w:space="0" w:color="auto"/>
        <w:left w:val="none" w:sz="0" w:space="0" w:color="auto"/>
        <w:bottom w:val="none" w:sz="0" w:space="0" w:color="auto"/>
        <w:right w:val="none" w:sz="0" w:space="0" w:color="auto"/>
      </w:divBdr>
    </w:div>
    <w:div w:id="688683903">
      <w:bodyDiv w:val="1"/>
      <w:marLeft w:val="0"/>
      <w:marRight w:val="0"/>
      <w:marTop w:val="0"/>
      <w:marBottom w:val="0"/>
      <w:divBdr>
        <w:top w:val="none" w:sz="0" w:space="0" w:color="auto"/>
        <w:left w:val="none" w:sz="0" w:space="0" w:color="auto"/>
        <w:bottom w:val="none" w:sz="0" w:space="0" w:color="auto"/>
        <w:right w:val="none" w:sz="0" w:space="0" w:color="auto"/>
      </w:divBdr>
    </w:div>
    <w:div w:id="706375216">
      <w:bodyDiv w:val="1"/>
      <w:marLeft w:val="0"/>
      <w:marRight w:val="0"/>
      <w:marTop w:val="0"/>
      <w:marBottom w:val="0"/>
      <w:divBdr>
        <w:top w:val="none" w:sz="0" w:space="0" w:color="auto"/>
        <w:left w:val="none" w:sz="0" w:space="0" w:color="auto"/>
        <w:bottom w:val="none" w:sz="0" w:space="0" w:color="auto"/>
        <w:right w:val="none" w:sz="0" w:space="0" w:color="auto"/>
      </w:divBdr>
    </w:div>
    <w:div w:id="712732274">
      <w:bodyDiv w:val="1"/>
      <w:marLeft w:val="0"/>
      <w:marRight w:val="0"/>
      <w:marTop w:val="0"/>
      <w:marBottom w:val="0"/>
      <w:divBdr>
        <w:top w:val="none" w:sz="0" w:space="0" w:color="auto"/>
        <w:left w:val="none" w:sz="0" w:space="0" w:color="auto"/>
        <w:bottom w:val="none" w:sz="0" w:space="0" w:color="auto"/>
        <w:right w:val="none" w:sz="0" w:space="0" w:color="auto"/>
      </w:divBdr>
    </w:div>
    <w:div w:id="721098942">
      <w:bodyDiv w:val="1"/>
      <w:marLeft w:val="0"/>
      <w:marRight w:val="0"/>
      <w:marTop w:val="0"/>
      <w:marBottom w:val="0"/>
      <w:divBdr>
        <w:top w:val="none" w:sz="0" w:space="0" w:color="auto"/>
        <w:left w:val="none" w:sz="0" w:space="0" w:color="auto"/>
        <w:bottom w:val="none" w:sz="0" w:space="0" w:color="auto"/>
        <w:right w:val="none" w:sz="0" w:space="0" w:color="auto"/>
      </w:divBdr>
    </w:div>
    <w:div w:id="773985476">
      <w:bodyDiv w:val="1"/>
      <w:marLeft w:val="0"/>
      <w:marRight w:val="0"/>
      <w:marTop w:val="0"/>
      <w:marBottom w:val="0"/>
      <w:divBdr>
        <w:top w:val="none" w:sz="0" w:space="0" w:color="auto"/>
        <w:left w:val="none" w:sz="0" w:space="0" w:color="auto"/>
        <w:bottom w:val="none" w:sz="0" w:space="0" w:color="auto"/>
        <w:right w:val="none" w:sz="0" w:space="0" w:color="auto"/>
      </w:divBdr>
    </w:div>
    <w:div w:id="781192821">
      <w:bodyDiv w:val="1"/>
      <w:marLeft w:val="0"/>
      <w:marRight w:val="0"/>
      <w:marTop w:val="0"/>
      <w:marBottom w:val="0"/>
      <w:divBdr>
        <w:top w:val="none" w:sz="0" w:space="0" w:color="auto"/>
        <w:left w:val="none" w:sz="0" w:space="0" w:color="auto"/>
        <w:bottom w:val="none" w:sz="0" w:space="0" w:color="auto"/>
        <w:right w:val="none" w:sz="0" w:space="0" w:color="auto"/>
      </w:divBdr>
    </w:div>
    <w:div w:id="783577066">
      <w:bodyDiv w:val="1"/>
      <w:marLeft w:val="0"/>
      <w:marRight w:val="0"/>
      <w:marTop w:val="0"/>
      <w:marBottom w:val="0"/>
      <w:divBdr>
        <w:top w:val="none" w:sz="0" w:space="0" w:color="auto"/>
        <w:left w:val="none" w:sz="0" w:space="0" w:color="auto"/>
        <w:bottom w:val="none" w:sz="0" w:space="0" w:color="auto"/>
        <w:right w:val="none" w:sz="0" w:space="0" w:color="auto"/>
      </w:divBdr>
    </w:div>
    <w:div w:id="786973636">
      <w:bodyDiv w:val="1"/>
      <w:marLeft w:val="0"/>
      <w:marRight w:val="0"/>
      <w:marTop w:val="0"/>
      <w:marBottom w:val="0"/>
      <w:divBdr>
        <w:top w:val="none" w:sz="0" w:space="0" w:color="auto"/>
        <w:left w:val="none" w:sz="0" w:space="0" w:color="auto"/>
        <w:bottom w:val="none" w:sz="0" w:space="0" w:color="auto"/>
        <w:right w:val="none" w:sz="0" w:space="0" w:color="auto"/>
      </w:divBdr>
    </w:div>
    <w:div w:id="797718940">
      <w:bodyDiv w:val="1"/>
      <w:marLeft w:val="0"/>
      <w:marRight w:val="0"/>
      <w:marTop w:val="0"/>
      <w:marBottom w:val="0"/>
      <w:divBdr>
        <w:top w:val="none" w:sz="0" w:space="0" w:color="auto"/>
        <w:left w:val="none" w:sz="0" w:space="0" w:color="auto"/>
        <w:bottom w:val="none" w:sz="0" w:space="0" w:color="auto"/>
        <w:right w:val="none" w:sz="0" w:space="0" w:color="auto"/>
      </w:divBdr>
    </w:div>
    <w:div w:id="812603654">
      <w:bodyDiv w:val="1"/>
      <w:marLeft w:val="0"/>
      <w:marRight w:val="0"/>
      <w:marTop w:val="0"/>
      <w:marBottom w:val="0"/>
      <w:divBdr>
        <w:top w:val="none" w:sz="0" w:space="0" w:color="auto"/>
        <w:left w:val="none" w:sz="0" w:space="0" w:color="auto"/>
        <w:bottom w:val="none" w:sz="0" w:space="0" w:color="auto"/>
        <w:right w:val="none" w:sz="0" w:space="0" w:color="auto"/>
      </w:divBdr>
    </w:div>
    <w:div w:id="814031466">
      <w:bodyDiv w:val="1"/>
      <w:marLeft w:val="0"/>
      <w:marRight w:val="0"/>
      <w:marTop w:val="0"/>
      <w:marBottom w:val="0"/>
      <w:divBdr>
        <w:top w:val="none" w:sz="0" w:space="0" w:color="auto"/>
        <w:left w:val="none" w:sz="0" w:space="0" w:color="auto"/>
        <w:bottom w:val="none" w:sz="0" w:space="0" w:color="auto"/>
        <w:right w:val="none" w:sz="0" w:space="0" w:color="auto"/>
      </w:divBdr>
    </w:div>
    <w:div w:id="834809151">
      <w:bodyDiv w:val="1"/>
      <w:marLeft w:val="0"/>
      <w:marRight w:val="0"/>
      <w:marTop w:val="0"/>
      <w:marBottom w:val="0"/>
      <w:divBdr>
        <w:top w:val="none" w:sz="0" w:space="0" w:color="auto"/>
        <w:left w:val="none" w:sz="0" w:space="0" w:color="auto"/>
        <w:bottom w:val="none" w:sz="0" w:space="0" w:color="auto"/>
        <w:right w:val="none" w:sz="0" w:space="0" w:color="auto"/>
      </w:divBdr>
    </w:div>
    <w:div w:id="843393855">
      <w:bodyDiv w:val="1"/>
      <w:marLeft w:val="0"/>
      <w:marRight w:val="0"/>
      <w:marTop w:val="0"/>
      <w:marBottom w:val="0"/>
      <w:divBdr>
        <w:top w:val="none" w:sz="0" w:space="0" w:color="auto"/>
        <w:left w:val="none" w:sz="0" w:space="0" w:color="auto"/>
        <w:bottom w:val="none" w:sz="0" w:space="0" w:color="auto"/>
        <w:right w:val="none" w:sz="0" w:space="0" w:color="auto"/>
      </w:divBdr>
    </w:div>
    <w:div w:id="847255522">
      <w:bodyDiv w:val="1"/>
      <w:marLeft w:val="0"/>
      <w:marRight w:val="0"/>
      <w:marTop w:val="0"/>
      <w:marBottom w:val="0"/>
      <w:divBdr>
        <w:top w:val="none" w:sz="0" w:space="0" w:color="auto"/>
        <w:left w:val="none" w:sz="0" w:space="0" w:color="auto"/>
        <w:bottom w:val="none" w:sz="0" w:space="0" w:color="auto"/>
        <w:right w:val="none" w:sz="0" w:space="0" w:color="auto"/>
      </w:divBdr>
    </w:div>
    <w:div w:id="951398819">
      <w:bodyDiv w:val="1"/>
      <w:marLeft w:val="0"/>
      <w:marRight w:val="0"/>
      <w:marTop w:val="0"/>
      <w:marBottom w:val="0"/>
      <w:divBdr>
        <w:top w:val="none" w:sz="0" w:space="0" w:color="auto"/>
        <w:left w:val="none" w:sz="0" w:space="0" w:color="auto"/>
        <w:bottom w:val="none" w:sz="0" w:space="0" w:color="auto"/>
        <w:right w:val="none" w:sz="0" w:space="0" w:color="auto"/>
      </w:divBdr>
    </w:div>
    <w:div w:id="959848032">
      <w:bodyDiv w:val="1"/>
      <w:marLeft w:val="0"/>
      <w:marRight w:val="0"/>
      <w:marTop w:val="0"/>
      <w:marBottom w:val="0"/>
      <w:divBdr>
        <w:top w:val="none" w:sz="0" w:space="0" w:color="auto"/>
        <w:left w:val="none" w:sz="0" w:space="0" w:color="auto"/>
        <w:bottom w:val="none" w:sz="0" w:space="0" w:color="auto"/>
        <w:right w:val="none" w:sz="0" w:space="0" w:color="auto"/>
      </w:divBdr>
    </w:div>
    <w:div w:id="986588059">
      <w:bodyDiv w:val="1"/>
      <w:marLeft w:val="0"/>
      <w:marRight w:val="0"/>
      <w:marTop w:val="0"/>
      <w:marBottom w:val="0"/>
      <w:divBdr>
        <w:top w:val="none" w:sz="0" w:space="0" w:color="auto"/>
        <w:left w:val="none" w:sz="0" w:space="0" w:color="auto"/>
        <w:bottom w:val="none" w:sz="0" w:space="0" w:color="auto"/>
        <w:right w:val="none" w:sz="0" w:space="0" w:color="auto"/>
      </w:divBdr>
    </w:div>
    <w:div w:id="998771559">
      <w:bodyDiv w:val="1"/>
      <w:marLeft w:val="0"/>
      <w:marRight w:val="0"/>
      <w:marTop w:val="0"/>
      <w:marBottom w:val="0"/>
      <w:divBdr>
        <w:top w:val="none" w:sz="0" w:space="0" w:color="auto"/>
        <w:left w:val="none" w:sz="0" w:space="0" w:color="auto"/>
        <w:bottom w:val="none" w:sz="0" w:space="0" w:color="auto"/>
        <w:right w:val="none" w:sz="0" w:space="0" w:color="auto"/>
      </w:divBdr>
    </w:div>
    <w:div w:id="1010987278">
      <w:bodyDiv w:val="1"/>
      <w:marLeft w:val="0"/>
      <w:marRight w:val="0"/>
      <w:marTop w:val="0"/>
      <w:marBottom w:val="0"/>
      <w:divBdr>
        <w:top w:val="none" w:sz="0" w:space="0" w:color="auto"/>
        <w:left w:val="none" w:sz="0" w:space="0" w:color="auto"/>
        <w:bottom w:val="none" w:sz="0" w:space="0" w:color="auto"/>
        <w:right w:val="none" w:sz="0" w:space="0" w:color="auto"/>
      </w:divBdr>
    </w:div>
    <w:div w:id="1027411315">
      <w:bodyDiv w:val="1"/>
      <w:marLeft w:val="0"/>
      <w:marRight w:val="0"/>
      <w:marTop w:val="0"/>
      <w:marBottom w:val="0"/>
      <w:divBdr>
        <w:top w:val="none" w:sz="0" w:space="0" w:color="auto"/>
        <w:left w:val="none" w:sz="0" w:space="0" w:color="auto"/>
        <w:bottom w:val="none" w:sz="0" w:space="0" w:color="auto"/>
        <w:right w:val="none" w:sz="0" w:space="0" w:color="auto"/>
      </w:divBdr>
    </w:div>
    <w:div w:id="1035346947">
      <w:bodyDiv w:val="1"/>
      <w:marLeft w:val="0"/>
      <w:marRight w:val="0"/>
      <w:marTop w:val="0"/>
      <w:marBottom w:val="0"/>
      <w:divBdr>
        <w:top w:val="none" w:sz="0" w:space="0" w:color="auto"/>
        <w:left w:val="none" w:sz="0" w:space="0" w:color="auto"/>
        <w:bottom w:val="none" w:sz="0" w:space="0" w:color="auto"/>
        <w:right w:val="none" w:sz="0" w:space="0" w:color="auto"/>
      </w:divBdr>
    </w:div>
    <w:div w:id="1044059140">
      <w:bodyDiv w:val="1"/>
      <w:marLeft w:val="0"/>
      <w:marRight w:val="0"/>
      <w:marTop w:val="0"/>
      <w:marBottom w:val="0"/>
      <w:divBdr>
        <w:top w:val="none" w:sz="0" w:space="0" w:color="auto"/>
        <w:left w:val="none" w:sz="0" w:space="0" w:color="auto"/>
        <w:bottom w:val="none" w:sz="0" w:space="0" w:color="auto"/>
        <w:right w:val="none" w:sz="0" w:space="0" w:color="auto"/>
      </w:divBdr>
    </w:div>
    <w:div w:id="1046493257">
      <w:bodyDiv w:val="1"/>
      <w:marLeft w:val="0"/>
      <w:marRight w:val="0"/>
      <w:marTop w:val="0"/>
      <w:marBottom w:val="0"/>
      <w:divBdr>
        <w:top w:val="none" w:sz="0" w:space="0" w:color="auto"/>
        <w:left w:val="none" w:sz="0" w:space="0" w:color="auto"/>
        <w:bottom w:val="none" w:sz="0" w:space="0" w:color="auto"/>
        <w:right w:val="none" w:sz="0" w:space="0" w:color="auto"/>
      </w:divBdr>
    </w:div>
    <w:div w:id="1048607289">
      <w:bodyDiv w:val="1"/>
      <w:marLeft w:val="0"/>
      <w:marRight w:val="0"/>
      <w:marTop w:val="0"/>
      <w:marBottom w:val="0"/>
      <w:divBdr>
        <w:top w:val="none" w:sz="0" w:space="0" w:color="auto"/>
        <w:left w:val="none" w:sz="0" w:space="0" w:color="auto"/>
        <w:bottom w:val="none" w:sz="0" w:space="0" w:color="auto"/>
        <w:right w:val="none" w:sz="0" w:space="0" w:color="auto"/>
      </w:divBdr>
    </w:div>
    <w:div w:id="1064990847">
      <w:bodyDiv w:val="1"/>
      <w:marLeft w:val="0"/>
      <w:marRight w:val="0"/>
      <w:marTop w:val="0"/>
      <w:marBottom w:val="0"/>
      <w:divBdr>
        <w:top w:val="none" w:sz="0" w:space="0" w:color="auto"/>
        <w:left w:val="none" w:sz="0" w:space="0" w:color="auto"/>
        <w:bottom w:val="none" w:sz="0" w:space="0" w:color="auto"/>
        <w:right w:val="none" w:sz="0" w:space="0" w:color="auto"/>
      </w:divBdr>
    </w:div>
    <w:div w:id="1089883918">
      <w:bodyDiv w:val="1"/>
      <w:marLeft w:val="0"/>
      <w:marRight w:val="0"/>
      <w:marTop w:val="0"/>
      <w:marBottom w:val="0"/>
      <w:divBdr>
        <w:top w:val="none" w:sz="0" w:space="0" w:color="auto"/>
        <w:left w:val="none" w:sz="0" w:space="0" w:color="auto"/>
        <w:bottom w:val="none" w:sz="0" w:space="0" w:color="auto"/>
        <w:right w:val="none" w:sz="0" w:space="0" w:color="auto"/>
      </w:divBdr>
    </w:div>
    <w:div w:id="1096513745">
      <w:bodyDiv w:val="1"/>
      <w:marLeft w:val="0"/>
      <w:marRight w:val="0"/>
      <w:marTop w:val="0"/>
      <w:marBottom w:val="0"/>
      <w:divBdr>
        <w:top w:val="none" w:sz="0" w:space="0" w:color="auto"/>
        <w:left w:val="none" w:sz="0" w:space="0" w:color="auto"/>
        <w:bottom w:val="none" w:sz="0" w:space="0" w:color="auto"/>
        <w:right w:val="none" w:sz="0" w:space="0" w:color="auto"/>
      </w:divBdr>
    </w:div>
    <w:div w:id="1107386623">
      <w:bodyDiv w:val="1"/>
      <w:marLeft w:val="0"/>
      <w:marRight w:val="0"/>
      <w:marTop w:val="0"/>
      <w:marBottom w:val="0"/>
      <w:divBdr>
        <w:top w:val="none" w:sz="0" w:space="0" w:color="auto"/>
        <w:left w:val="none" w:sz="0" w:space="0" w:color="auto"/>
        <w:bottom w:val="none" w:sz="0" w:space="0" w:color="auto"/>
        <w:right w:val="none" w:sz="0" w:space="0" w:color="auto"/>
      </w:divBdr>
    </w:div>
    <w:div w:id="1135683213">
      <w:bodyDiv w:val="1"/>
      <w:marLeft w:val="0"/>
      <w:marRight w:val="0"/>
      <w:marTop w:val="0"/>
      <w:marBottom w:val="0"/>
      <w:divBdr>
        <w:top w:val="none" w:sz="0" w:space="0" w:color="auto"/>
        <w:left w:val="none" w:sz="0" w:space="0" w:color="auto"/>
        <w:bottom w:val="none" w:sz="0" w:space="0" w:color="auto"/>
        <w:right w:val="none" w:sz="0" w:space="0" w:color="auto"/>
      </w:divBdr>
    </w:div>
    <w:div w:id="1136797827">
      <w:bodyDiv w:val="1"/>
      <w:marLeft w:val="0"/>
      <w:marRight w:val="0"/>
      <w:marTop w:val="0"/>
      <w:marBottom w:val="0"/>
      <w:divBdr>
        <w:top w:val="none" w:sz="0" w:space="0" w:color="auto"/>
        <w:left w:val="none" w:sz="0" w:space="0" w:color="auto"/>
        <w:bottom w:val="none" w:sz="0" w:space="0" w:color="auto"/>
        <w:right w:val="none" w:sz="0" w:space="0" w:color="auto"/>
      </w:divBdr>
    </w:div>
    <w:div w:id="1142700192">
      <w:bodyDiv w:val="1"/>
      <w:marLeft w:val="0"/>
      <w:marRight w:val="0"/>
      <w:marTop w:val="0"/>
      <w:marBottom w:val="0"/>
      <w:divBdr>
        <w:top w:val="none" w:sz="0" w:space="0" w:color="auto"/>
        <w:left w:val="none" w:sz="0" w:space="0" w:color="auto"/>
        <w:bottom w:val="none" w:sz="0" w:space="0" w:color="auto"/>
        <w:right w:val="none" w:sz="0" w:space="0" w:color="auto"/>
      </w:divBdr>
    </w:div>
    <w:div w:id="1149245669">
      <w:bodyDiv w:val="1"/>
      <w:marLeft w:val="0"/>
      <w:marRight w:val="0"/>
      <w:marTop w:val="0"/>
      <w:marBottom w:val="0"/>
      <w:divBdr>
        <w:top w:val="none" w:sz="0" w:space="0" w:color="auto"/>
        <w:left w:val="none" w:sz="0" w:space="0" w:color="auto"/>
        <w:bottom w:val="none" w:sz="0" w:space="0" w:color="auto"/>
        <w:right w:val="none" w:sz="0" w:space="0" w:color="auto"/>
      </w:divBdr>
    </w:div>
    <w:div w:id="1165513001">
      <w:bodyDiv w:val="1"/>
      <w:marLeft w:val="0"/>
      <w:marRight w:val="0"/>
      <w:marTop w:val="0"/>
      <w:marBottom w:val="0"/>
      <w:divBdr>
        <w:top w:val="none" w:sz="0" w:space="0" w:color="auto"/>
        <w:left w:val="none" w:sz="0" w:space="0" w:color="auto"/>
        <w:bottom w:val="none" w:sz="0" w:space="0" w:color="auto"/>
        <w:right w:val="none" w:sz="0" w:space="0" w:color="auto"/>
      </w:divBdr>
    </w:div>
    <w:div w:id="1176070613">
      <w:bodyDiv w:val="1"/>
      <w:marLeft w:val="0"/>
      <w:marRight w:val="0"/>
      <w:marTop w:val="0"/>
      <w:marBottom w:val="0"/>
      <w:divBdr>
        <w:top w:val="none" w:sz="0" w:space="0" w:color="auto"/>
        <w:left w:val="none" w:sz="0" w:space="0" w:color="auto"/>
        <w:bottom w:val="none" w:sz="0" w:space="0" w:color="auto"/>
        <w:right w:val="none" w:sz="0" w:space="0" w:color="auto"/>
      </w:divBdr>
    </w:div>
    <w:div w:id="1177967431">
      <w:bodyDiv w:val="1"/>
      <w:marLeft w:val="0"/>
      <w:marRight w:val="0"/>
      <w:marTop w:val="0"/>
      <w:marBottom w:val="0"/>
      <w:divBdr>
        <w:top w:val="none" w:sz="0" w:space="0" w:color="auto"/>
        <w:left w:val="none" w:sz="0" w:space="0" w:color="auto"/>
        <w:bottom w:val="none" w:sz="0" w:space="0" w:color="auto"/>
        <w:right w:val="none" w:sz="0" w:space="0" w:color="auto"/>
      </w:divBdr>
    </w:div>
    <w:div w:id="1203666246">
      <w:bodyDiv w:val="1"/>
      <w:marLeft w:val="0"/>
      <w:marRight w:val="0"/>
      <w:marTop w:val="0"/>
      <w:marBottom w:val="0"/>
      <w:divBdr>
        <w:top w:val="none" w:sz="0" w:space="0" w:color="auto"/>
        <w:left w:val="none" w:sz="0" w:space="0" w:color="auto"/>
        <w:bottom w:val="none" w:sz="0" w:space="0" w:color="auto"/>
        <w:right w:val="none" w:sz="0" w:space="0" w:color="auto"/>
      </w:divBdr>
    </w:div>
    <w:div w:id="1215777778">
      <w:bodyDiv w:val="1"/>
      <w:marLeft w:val="0"/>
      <w:marRight w:val="0"/>
      <w:marTop w:val="0"/>
      <w:marBottom w:val="0"/>
      <w:divBdr>
        <w:top w:val="none" w:sz="0" w:space="0" w:color="auto"/>
        <w:left w:val="none" w:sz="0" w:space="0" w:color="auto"/>
        <w:bottom w:val="none" w:sz="0" w:space="0" w:color="auto"/>
        <w:right w:val="none" w:sz="0" w:space="0" w:color="auto"/>
      </w:divBdr>
    </w:div>
    <w:div w:id="1222401874">
      <w:bodyDiv w:val="1"/>
      <w:marLeft w:val="0"/>
      <w:marRight w:val="0"/>
      <w:marTop w:val="0"/>
      <w:marBottom w:val="0"/>
      <w:divBdr>
        <w:top w:val="none" w:sz="0" w:space="0" w:color="auto"/>
        <w:left w:val="none" w:sz="0" w:space="0" w:color="auto"/>
        <w:bottom w:val="none" w:sz="0" w:space="0" w:color="auto"/>
        <w:right w:val="none" w:sz="0" w:space="0" w:color="auto"/>
      </w:divBdr>
    </w:div>
    <w:div w:id="1223908171">
      <w:bodyDiv w:val="1"/>
      <w:marLeft w:val="0"/>
      <w:marRight w:val="0"/>
      <w:marTop w:val="0"/>
      <w:marBottom w:val="0"/>
      <w:divBdr>
        <w:top w:val="none" w:sz="0" w:space="0" w:color="auto"/>
        <w:left w:val="none" w:sz="0" w:space="0" w:color="auto"/>
        <w:bottom w:val="none" w:sz="0" w:space="0" w:color="auto"/>
        <w:right w:val="none" w:sz="0" w:space="0" w:color="auto"/>
      </w:divBdr>
    </w:div>
    <w:div w:id="1231185779">
      <w:bodyDiv w:val="1"/>
      <w:marLeft w:val="0"/>
      <w:marRight w:val="0"/>
      <w:marTop w:val="0"/>
      <w:marBottom w:val="0"/>
      <w:divBdr>
        <w:top w:val="none" w:sz="0" w:space="0" w:color="auto"/>
        <w:left w:val="none" w:sz="0" w:space="0" w:color="auto"/>
        <w:bottom w:val="none" w:sz="0" w:space="0" w:color="auto"/>
        <w:right w:val="none" w:sz="0" w:space="0" w:color="auto"/>
      </w:divBdr>
    </w:div>
    <w:div w:id="1262880189">
      <w:bodyDiv w:val="1"/>
      <w:marLeft w:val="0"/>
      <w:marRight w:val="0"/>
      <w:marTop w:val="0"/>
      <w:marBottom w:val="0"/>
      <w:divBdr>
        <w:top w:val="none" w:sz="0" w:space="0" w:color="auto"/>
        <w:left w:val="none" w:sz="0" w:space="0" w:color="auto"/>
        <w:bottom w:val="none" w:sz="0" w:space="0" w:color="auto"/>
        <w:right w:val="none" w:sz="0" w:space="0" w:color="auto"/>
      </w:divBdr>
    </w:div>
    <w:div w:id="1269002623">
      <w:bodyDiv w:val="1"/>
      <w:marLeft w:val="0"/>
      <w:marRight w:val="0"/>
      <w:marTop w:val="0"/>
      <w:marBottom w:val="0"/>
      <w:divBdr>
        <w:top w:val="none" w:sz="0" w:space="0" w:color="auto"/>
        <w:left w:val="none" w:sz="0" w:space="0" w:color="auto"/>
        <w:bottom w:val="none" w:sz="0" w:space="0" w:color="auto"/>
        <w:right w:val="none" w:sz="0" w:space="0" w:color="auto"/>
      </w:divBdr>
    </w:div>
    <w:div w:id="1291477856">
      <w:bodyDiv w:val="1"/>
      <w:marLeft w:val="0"/>
      <w:marRight w:val="0"/>
      <w:marTop w:val="0"/>
      <w:marBottom w:val="0"/>
      <w:divBdr>
        <w:top w:val="none" w:sz="0" w:space="0" w:color="auto"/>
        <w:left w:val="none" w:sz="0" w:space="0" w:color="auto"/>
        <w:bottom w:val="none" w:sz="0" w:space="0" w:color="auto"/>
        <w:right w:val="none" w:sz="0" w:space="0" w:color="auto"/>
      </w:divBdr>
    </w:div>
    <w:div w:id="1316228056">
      <w:bodyDiv w:val="1"/>
      <w:marLeft w:val="0"/>
      <w:marRight w:val="0"/>
      <w:marTop w:val="0"/>
      <w:marBottom w:val="0"/>
      <w:divBdr>
        <w:top w:val="none" w:sz="0" w:space="0" w:color="auto"/>
        <w:left w:val="none" w:sz="0" w:space="0" w:color="auto"/>
        <w:bottom w:val="none" w:sz="0" w:space="0" w:color="auto"/>
        <w:right w:val="none" w:sz="0" w:space="0" w:color="auto"/>
      </w:divBdr>
    </w:div>
    <w:div w:id="1320042086">
      <w:bodyDiv w:val="1"/>
      <w:marLeft w:val="0"/>
      <w:marRight w:val="0"/>
      <w:marTop w:val="0"/>
      <w:marBottom w:val="0"/>
      <w:divBdr>
        <w:top w:val="none" w:sz="0" w:space="0" w:color="auto"/>
        <w:left w:val="none" w:sz="0" w:space="0" w:color="auto"/>
        <w:bottom w:val="none" w:sz="0" w:space="0" w:color="auto"/>
        <w:right w:val="none" w:sz="0" w:space="0" w:color="auto"/>
      </w:divBdr>
    </w:div>
    <w:div w:id="1337423568">
      <w:bodyDiv w:val="1"/>
      <w:marLeft w:val="0"/>
      <w:marRight w:val="0"/>
      <w:marTop w:val="0"/>
      <w:marBottom w:val="0"/>
      <w:divBdr>
        <w:top w:val="none" w:sz="0" w:space="0" w:color="auto"/>
        <w:left w:val="none" w:sz="0" w:space="0" w:color="auto"/>
        <w:bottom w:val="none" w:sz="0" w:space="0" w:color="auto"/>
        <w:right w:val="none" w:sz="0" w:space="0" w:color="auto"/>
      </w:divBdr>
    </w:div>
    <w:div w:id="1342472130">
      <w:bodyDiv w:val="1"/>
      <w:marLeft w:val="0"/>
      <w:marRight w:val="0"/>
      <w:marTop w:val="0"/>
      <w:marBottom w:val="0"/>
      <w:divBdr>
        <w:top w:val="none" w:sz="0" w:space="0" w:color="auto"/>
        <w:left w:val="none" w:sz="0" w:space="0" w:color="auto"/>
        <w:bottom w:val="none" w:sz="0" w:space="0" w:color="auto"/>
        <w:right w:val="none" w:sz="0" w:space="0" w:color="auto"/>
      </w:divBdr>
    </w:div>
    <w:div w:id="1366520410">
      <w:bodyDiv w:val="1"/>
      <w:marLeft w:val="0"/>
      <w:marRight w:val="0"/>
      <w:marTop w:val="0"/>
      <w:marBottom w:val="0"/>
      <w:divBdr>
        <w:top w:val="none" w:sz="0" w:space="0" w:color="auto"/>
        <w:left w:val="none" w:sz="0" w:space="0" w:color="auto"/>
        <w:bottom w:val="none" w:sz="0" w:space="0" w:color="auto"/>
        <w:right w:val="none" w:sz="0" w:space="0" w:color="auto"/>
      </w:divBdr>
    </w:div>
    <w:div w:id="1395473000">
      <w:bodyDiv w:val="1"/>
      <w:marLeft w:val="0"/>
      <w:marRight w:val="0"/>
      <w:marTop w:val="0"/>
      <w:marBottom w:val="0"/>
      <w:divBdr>
        <w:top w:val="none" w:sz="0" w:space="0" w:color="auto"/>
        <w:left w:val="none" w:sz="0" w:space="0" w:color="auto"/>
        <w:bottom w:val="none" w:sz="0" w:space="0" w:color="auto"/>
        <w:right w:val="none" w:sz="0" w:space="0" w:color="auto"/>
      </w:divBdr>
    </w:div>
    <w:div w:id="1398165856">
      <w:bodyDiv w:val="1"/>
      <w:marLeft w:val="0"/>
      <w:marRight w:val="0"/>
      <w:marTop w:val="0"/>
      <w:marBottom w:val="0"/>
      <w:divBdr>
        <w:top w:val="none" w:sz="0" w:space="0" w:color="auto"/>
        <w:left w:val="none" w:sz="0" w:space="0" w:color="auto"/>
        <w:bottom w:val="none" w:sz="0" w:space="0" w:color="auto"/>
        <w:right w:val="none" w:sz="0" w:space="0" w:color="auto"/>
      </w:divBdr>
    </w:div>
    <w:div w:id="1398817176">
      <w:bodyDiv w:val="1"/>
      <w:marLeft w:val="0"/>
      <w:marRight w:val="0"/>
      <w:marTop w:val="0"/>
      <w:marBottom w:val="0"/>
      <w:divBdr>
        <w:top w:val="none" w:sz="0" w:space="0" w:color="auto"/>
        <w:left w:val="none" w:sz="0" w:space="0" w:color="auto"/>
        <w:bottom w:val="none" w:sz="0" w:space="0" w:color="auto"/>
        <w:right w:val="none" w:sz="0" w:space="0" w:color="auto"/>
      </w:divBdr>
    </w:div>
    <w:div w:id="1406342696">
      <w:bodyDiv w:val="1"/>
      <w:marLeft w:val="0"/>
      <w:marRight w:val="0"/>
      <w:marTop w:val="0"/>
      <w:marBottom w:val="0"/>
      <w:divBdr>
        <w:top w:val="none" w:sz="0" w:space="0" w:color="auto"/>
        <w:left w:val="none" w:sz="0" w:space="0" w:color="auto"/>
        <w:bottom w:val="none" w:sz="0" w:space="0" w:color="auto"/>
        <w:right w:val="none" w:sz="0" w:space="0" w:color="auto"/>
      </w:divBdr>
    </w:div>
    <w:div w:id="1412508991">
      <w:bodyDiv w:val="1"/>
      <w:marLeft w:val="0"/>
      <w:marRight w:val="0"/>
      <w:marTop w:val="0"/>
      <w:marBottom w:val="0"/>
      <w:divBdr>
        <w:top w:val="none" w:sz="0" w:space="0" w:color="auto"/>
        <w:left w:val="none" w:sz="0" w:space="0" w:color="auto"/>
        <w:bottom w:val="none" w:sz="0" w:space="0" w:color="auto"/>
        <w:right w:val="none" w:sz="0" w:space="0" w:color="auto"/>
      </w:divBdr>
    </w:div>
    <w:div w:id="1468889065">
      <w:bodyDiv w:val="1"/>
      <w:marLeft w:val="0"/>
      <w:marRight w:val="0"/>
      <w:marTop w:val="0"/>
      <w:marBottom w:val="0"/>
      <w:divBdr>
        <w:top w:val="none" w:sz="0" w:space="0" w:color="auto"/>
        <w:left w:val="none" w:sz="0" w:space="0" w:color="auto"/>
        <w:bottom w:val="none" w:sz="0" w:space="0" w:color="auto"/>
        <w:right w:val="none" w:sz="0" w:space="0" w:color="auto"/>
      </w:divBdr>
    </w:div>
    <w:div w:id="1475293790">
      <w:bodyDiv w:val="1"/>
      <w:marLeft w:val="0"/>
      <w:marRight w:val="0"/>
      <w:marTop w:val="0"/>
      <w:marBottom w:val="0"/>
      <w:divBdr>
        <w:top w:val="none" w:sz="0" w:space="0" w:color="auto"/>
        <w:left w:val="none" w:sz="0" w:space="0" w:color="auto"/>
        <w:bottom w:val="none" w:sz="0" w:space="0" w:color="auto"/>
        <w:right w:val="none" w:sz="0" w:space="0" w:color="auto"/>
      </w:divBdr>
    </w:div>
    <w:div w:id="1476334610">
      <w:bodyDiv w:val="1"/>
      <w:marLeft w:val="0"/>
      <w:marRight w:val="0"/>
      <w:marTop w:val="0"/>
      <w:marBottom w:val="0"/>
      <w:divBdr>
        <w:top w:val="none" w:sz="0" w:space="0" w:color="auto"/>
        <w:left w:val="none" w:sz="0" w:space="0" w:color="auto"/>
        <w:bottom w:val="none" w:sz="0" w:space="0" w:color="auto"/>
        <w:right w:val="none" w:sz="0" w:space="0" w:color="auto"/>
      </w:divBdr>
    </w:div>
    <w:div w:id="1477144001">
      <w:bodyDiv w:val="1"/>
      <w:marLeft w:val="0"/>
      <w:marRight w:val="0"/>
      <w:marTop w:val="0"/>
      <w:marBottom w:val="0"/>
      <w:divBdr>
        <w:top w:val="none" w:sz="0" w:space="0" w:color="auto"/>
        <w:left w:val="none" w:sz="0" w:space="0" w:color="auto"/>
        <w:bottom w:val="none" w:sz="0" w:space="0" w:color="auto"/>
        <w:right w:val="none" w:sz="0" w:space="0" w:color="auto"/>
      </w:divBdr>
    </w:div>
    <w:div w:id="1492523925">
      <w:bodyDiv w:val="1"/>
      <w:marLeft w:val="0"/>
      <w:marRight w:val="0"/>
      <w:marTop w:val="0"/>
      <w:marBottom w:val="0"/>
      <w:divBdr>
        <w:top w:val="none" w:sz="0" w:space="0" w:color="auto"/>
        <w:left w:val="none" w:sz="0" w:space="0" w:color="auto"/>
        <w:bottom w:val="none" w:sz="0" w:space="0" w:color="auto"/>
        <w:right w:val="none" w:sz="0" w:space="0" w:color="auto"/>
      </w:divBdr>
    </w:div>
    <w:div w:id="1510870326">
      <w:bodyDiv w:val="1"/>
      <w:marLeft w:val="0"/>
      <w:marRight w:val="0"/>
      <w:marTop w:val="0"/>
      <w:marBottom w:val="0"/>
      <w:divBdr>
        <w:top w:val="none" w:sz="0" w:space="0" w:color="auto"/>
        <w:left w:val="none" w:sz="0" w:space="0" w:color="auto"/>
        <w:bottom w:val="none" w:sz="0" w:space="0" w:color="auto"/>
        <w:right w:val="none" w:sz="0" w:space="0" w:color="auto"/>
      </w:divBdr>
    </w:div>
    <w:div w:id="1529758963">
      <w:bodyDiv w:val="1"/>
      <w:marLeft w:val="0"/>
      <w:marRight w:val="0"/>
      <w:marTop w:val="0"/>
      <w:marBottom w:val="0"/>
      <w:divBdr>
        <w:top w:val="none" w:sz="0" w:space="0" w:color="auto"/>
        <w:left w:val="none" w:sz="0" w:space="0" w:color="auto"/>
        <w:bottom w:val="none" w:sz="0" w:space="0" w:color="auto"/>
        <w:right w:val="none" w:sz="0" w:space="0" w:color="auto"/>
      </w:divBdr>
    </w:div>
    <w:div w:id="1570725555">
      <w:bodyDiv w:val="1"/>
      <w:marLeft w:val="0"/>
      <w:marRight w:val="0"/>
      <w:marTop w:val="0"/>
      <w:marBottom w:val="0"/>
      <w:divBdr>
        <w:top w:val="none" w:sz="0" w:space="0" w:color="auto"/>
        <w:left w:val="none" w:sz="0" w:space="0" w:color="auto"/>
        <w:bottom w:val="none" w:sz="0" w:space="0" w:color="auto"/>
        <w:right w:val="none" w:sz="0" w:space="0" w:color="auto"/>
      </w:divBdr>
    </w:div>
    <w:div w:id="1574392615">
      <w:bodyDiv w:val="1"/>
      <w:marLeft w:val="0"/>
      <w:marRight w:val="0"/>
      <w:marTop w:val="0"/>
      <w:marBottom w:val="0"/>
      <w:divBdr>
        <w:top w:val="none" w:sz="0" w:space="0" w:color="auto"/>
        <w:left w:val="none" w:sz="0" w:space="0" w:color="auto"/>
        <w:bottom w:val="none" w:sz="0" w:space="0" w:color="auto"/>
        <w:right w:val="none" w:sz="0" w:space="0" w:color="auto"/>
      </w:divBdr>
    </w:div>
    <w:div w:id="1587881255">
      <w:bodyDiv w:val="1"/>
      <w:marLeft w:val="0"/>
      <w:marRight w:val="0"/>
      <w:marTop w:val="0"/>
      <w:marBottom w:val="0"/>
      <w:divBdr>
        <w:top w:val="none" w:sz="0" w:space="0" w:color="auto"/>
        <w:left w:val="none" w:sz="0" w:space="0" w:color="auto"/>
        <w:bottom w:val="none" w:sz="0" w:space="0" w:color="auto"/>
        <w:right w:val="none" w:sz="0" w:space="0" w:color="auto"/>
      </w:divBdr>
    </w:div>
    <w:div w:id="1592811264">
      <w:bodyDiv w:val="1"/>
      <w:marLeft w:val="0"/>
      <w:marRight w:val="0"/>
      <w:marTop w:val="0"/>
      <w:marBottom w:val="0"/>
      <w:divBdr>
        <w:top w:val="none" w:sz="0" w:space="0" w:color="auto"/>
        <w:left w:val="none" w:sz="0" w:space="0" w:color="auto"/>
        <w:bottom w:val="none" w:sz="0" w:space="0" w:color="auto"/>
        <w:right w:val="none" w:sz="0" w:space="0" w:color="auto"/>
      </w:divBdr>
    </w:div>
    <w:div w:id="1617371477">
      <w:bodyDiv w:val="1"/>
      <w:marLeft w:val="0"/>
      <w:marRight w:val="0"/>
      <w:marTop w:val="0"/>
      <w:marBottom w:val="0"/>
      <w:divBdr>
        <w:top w:val="none" w:sz="0" w:space="0" w:color="auto"/>
        <w:left w:val="none" w:sz="0" w:space="0" w:color="auto"/>
        <w:bottom w:val="none" w:sz="0" w:space="0" w:color="auto"/>
        <w:right w:val="none" w:sz="0" w:space="0" w:color="auto"/>
      </w:divBdr>
    </w:div>
    <w:div w:id="1634409041">
      <w:bodyDiv w:val="1"/>
      <w:marLeft w:val="0"/>
      <w:marRight w:val="0"/>
      <w:marTop w:val="0"/>
      <w:marBottom w:val="0"/>
      <w:divBdr>
        <w:top w:val="none" w:sz="0" w:space="0" w:color="auto"/>
        <w:left w:val="none" w:sz="0" w:space="0" w:color="auto"/>
        <w:bottom w:val="none" w:sz="0" w:space="0" w:color="auto"/>
        <w:right w:val="none" w:sz="0" w:space="0" w:color="auto"/>
      </w:divBdr>
    </w:div>
    <w:div w:id="1655447232">
      <w:bodyDiv w:val="1"/>
      <w:marLeft w:val="0"/>
      <w:marRight w:val="0"/>
      <w:marTop w:val="0"/>
      <w:marBottom w:val="0"/>
      <w:divBdr>
        <w:top w:val="none" w:sz="0" w:space="0" w:color="auto"/>
        <w:left w:val="none" w:sz="0" w:space="0" w:color="auto"/>
        <w:bottom w:val="none" w:sz="0" w:space="0" w:color="auto"/>
        <w:right w:val="none" w:sz="0" w:space="0" w:color="auto"/>
      </w:divBdr>
    </w:div>
    <w:div w:id="1663855461">
      <w:bodyDiv w:val="1"/>
      <w:marLeft w:val="0"/>
      <w:marRight w:val="0"/>
      <w:marTop w:val="0"/>
      <w:marBottom w:val="0"/>
      <w:divBdr>
        <w:top w:val="none" w:sz="0" w:space="0" w:color="auto"/>
        <w:left w:val="none" w:sz="0" w:space="0" w:color="auto"/>
        <w:bottom w:val="none" w:sz="0" w:space="0" w:color="auto"/>
        <w:right w:val="none" w:sz="0" w:space="0" w:color="auto"/>
      </w:divBdr>
    </w:div>
    <w:div w:id="1679577235">
      <w:bodyDiv w:val="1"/>
      <w:marLeft w:val="0"/>
      <w:marRight w:val="0"/>
      <w:marTop w:val="0"/>
      <w:marBottom w:val="0"/>
      <w:divBdr>
        <w:top w:val="none" w:sz="0" w:space="0" w:color="auto"/>
        <w:left w:val="none" w:sz="0" w:space="0" w:color="auto"/>
        <w:bottom w:val="none" w:sz="0" w:space="0" w:color="auto"/>
        <w:right w:val="none" w:sz="0" w:space="0" w:color="auto"/>
      </w:divBdr>
    </w:div>
    <w:div w:id="1698000424">
      <w:bodyDiv w:val="1"/>
      <w:marLeft w:val="0"/>
      <w:marRight w:val="0"/>
      <w:marTop w:val="0"/>
      <w:marBottom w:val="0"/>
      <w:divBdr>
        <w:top w:val="none" w:sz="0" w:space="0" w:color="auto"/>
        <w:left w:val="none" w:sz="0" w:space="0" w:color="auto"/>
        <w:bottom w:val="none" w:sz="0" w:space="0" w:color="auto"/>
        <w:right w:val="none" w:sz="0" w:space="0" w:color="auto"/>
      </w:divBdr>
    </w:div>
    <w:div w:id="1705208329">
      <w:bodyDiv w:val="1"/>
      <w:marLeft w:val="0"/>
      <w:marRight w:val="0"/>
      <w:marTop w:val="0"/>
      <w:marBottom w:val="0"/>
      <w:divBdr>
        <w:top w:val="none" w:sz="0" w:space="0" w:color="auto"/>
        <w:left w:val="none" w:sz="0" w:space="0" w:color="auto"/>
        <w:bottom w:val="none" w:sz="0" w:space="0" w:color="auto"/>
        <w:right w:val="none" w:sz="0" w:space="0" w:color="auto"/>
      </w:divBdr>
    </w:div>
    <w:div w:id="1710492857">
      <w:bodyDiv w:val="1"/>
      <w:marLeft w:val="0"/>
      <w:marRight w:val="0"/>
      <w:marTop w:val="0"/>
      <w:marBottom w:val="0"/>
      <w:divBdr>
        <w:top w:val="none" w:sz="0" w:space="0" w:color="auto"/>
        <w:left w:val="none" w:sz="0" w:space="0" w:color="auto"/>
        <w:bottom w:val="none" w:sz="0" w:space="0" w:color="auto"/>
        <w:right w:val="none" w:sz="0" w:space="0" w:color="auto"/>
      </w:divBdr>
    </w:div>
    <w:div w:id="1778406954">
      <w:bodyDiv w:val="1"/>
      <w:marLeft w:val="0"/>
      <w:marRight w:val="0"/>
      <w:marTop w:val="0"/>
      <w:marBottom w:val="0"/>
      <w:divBdr>
        <w:top w:val="none" w:sz="0" w:space="0" w:color="auto"/>
        <w:left w:val="none" w:sz="0" w:space="0" w:color="auto"/>
        <w:bottom w:val="none" w:sz="0" w:space="0" w:color="auto"/>
        <w:right w:val="none" w:sz="0" w:space="0" w:color="auto"/>
      </w:divBdr>
    </w:div>
    <w:div w:id="1788548674">
      <w:bodyDiv w:val="1"/>
      <w:marLeft w:val="0"/>
      <w:marRight w:val="0"/>
      <w:marTop w:val="0"/>
      <w:marBottom w:val="0"/>
      <w:divBdr>
        <w:top w:val="none" w:sz="0" w:space="0" w:color="auto"/>
        <w:left w:val="none" w:sz="0" w:space="0" w:color="auto"/>
        <w:bottom w:val="none" w:sz="0" w:space="0" w:color="auto"/>
        <w:right w:val="none" w:sz="0" w:space="0" w:color="auto"/>
      </w:divBdr>
    </w:div>
    <w:div w:id="1804540279">
      <w:bodyDiv w:val="1"/>
      <w:marLeft w:val="0"/>
      <w:marRight w:val="0"/>
      <w:marTop w:val="0"/>
      <w:marBottom w:val="0"/>
      <w:divBdr>
        <w:top w:val="none" w:sz="0" w:space="0" w:color="auto"/>
        <w:left w:val="none" w:sz="0" w:space="0" w:color="auto"/>
        <w:bottom w:val="none" w:sz="0" w:space="0" w:color="auto"/>
        <w:right w:val="none" w:sz="0" w:space="0" w:color="auto"/>
      </w:divBdr>
    </w:div>
    <w:div w:id="1858349650">
      <w:bodyDiv w:val="1"/>
      <w:marLeft w:val="0"/>
      <w:marRight w:val="0"/>
      <w:marTop w:val="0"/>
      <w:marBottom w:val="0"/>
      <w:divBdr>
        <w:top w:val="none" w:sz="0" w:space="0" w:color="auto"/>
        <w:left w:val="none" w:sz="0" w:space="0" w:color="auto"/>
        <w:bottom w:val="none" w:sz="0" w:space="0" w:color="auto"/>
        <w:right w:val="none" w:sz="0" w:space="0" w:color="auto"/>
      </w:divBdr>
    </w:div>
    <w:div w:id="1860703768">
      <w:bodyDiv w:val="1"/>
      <w:marLeft w:val="0"/>
      <w:marRight w:val="0"/>
      <w:marTop w:val="0"/>
      <w:marBottom w:val="0"/>
      <w:divBdr>
        <w:top w:val="none" w:sz="0" w:space="0" w:color="auto"/>
        <w:left w:val="none" w:sz="0" w:space="0" w:color="auto"/>
        <w:bottom w:val="none" w:sz="0" w:space="0" w:color="auto"/>
        <w:right w:val="none" w:sz="0" w:space="0" w:color="auto"/>
      </w:divBdr>
    </w:div>
    <w:div w:id="1866555344">
      <w:bodyDiv w:val="1"/>
      <w:marLeft w:val="0"/>
      <w:marRight w:val="0"/>
      <w:marTop w:val="0"/>
      <w:marBottom w:val="0"/>
      <w:divBdr>
        <w:top w:val="none" w:sz="0" w:space="0" w:color="auto"/>
        <w:left w:val="none" w:sz="0" w:space="0" w:color="auto"/>
        <w:bottom w:val="none" w:sz="0" w:space="0" w:color="auto"/>
        <w:right w:val="none" w:sz="0" w:space="0" w:color="auto"/>
      </w:divBdr>
    </w:div>
    <w:div w:id="1876890269">
      <w:bodyDiv w:val="1"/>
      <w:marLeft w:val="0"/>
      <w:marRight w:val="0"/>
      <w:marTop w:val="0"/>
      <w:marBottom w:val="0"/>
      <w:divBdr>
        <w:top w:val="none" w:sz="0" w:space="0" w:color="auto"/>
        <w:left w:val="none" w:sz="0" w:space="0" w:color="auto"/>
        <w:bottom w:val="none" w:sz="0" w:space="0" w:color="auto"/>
        <w:right w:val="none" w:sz="0" w:space="0" w:color="auto"/>
      </w:divBdr>
    </w:div>
    <w:div w:id="1878201608">
      <w:bodyDiv w:val="1"/>
      <w:marLeft w:val="0"/>
      <w:marRight w:val="0"/>
      <w:marTop w:val="0"/>
      <w:marBottom w:val="0"/>
      <w:divBdr>
        <w:top w:val="none" w:sz="0" w:space="0" w:color="auto"/>
        <w:left w:val="none" w:sz="0" w:space="0" w:color="auto"/>
        <w:bottom w:val="none" w:sz="0" w:space="0" w:color="auto"/>
        <w:right w:val="none" w:sz="0" w:space="0" w:color="auto"/>
      </w:divBdr>
    </w:div>
    <w:div w:id="1887140580">
      <w:bodyDiv w:val="1"/>
      <w:marLeft w:val="0"/>
      <w:marRight w:val="0"/>
      <w:marTop w:val="0"/>
      <w:marBottom w:val="0"/>
      <w:divBdr>
        <w:top w:val="none" w:sz="0" w:space="0" w:color="auto"/>
        <w:left w:val="none" w:sz="0" w:space="0" w:color="auto"/>
        <w:bottom w:val="none" w:sz="0" w:space="0" w:color="auto"/>
        <w:right w:val="none" w:sz="0" w:space="0" w:color="auto"/>
      </w:divBdr>
    </w:div>
    <w:div w:id="1945990073">
      <w:bodyDiv w:val="1"/>
      <w:marLeft w:val="0"/>
      <w:marRight w:val="0"/>
      <w:marTop w:val="0"/>
      <w:marBottom w:val="0"/>
      <w:divBdr>
        <w:top w:val="none" w:sz="0" w:space="0" w:color="auto"/>
        <w:left w:val="none" w:sz="0" w:space="0" w:color="auto"/>
        <w:bottom w:val="none" w:sz="0" w:space="0" w:color="auto"/>
        <w:right w:val="none" w:sz="0" w:space="0" w:color="auto"/>
      </w:divBdr>
    </w:div>
    <w:div w:id="1948391912">
      <w:bodyDiv w:val="1"/>
      <w:marLeft w:val="0"/>
      <w:marRight w:val="0"/>
      <w:marTop w:val="0"/>
      <w:marBottom w:val="0"/>
      <w:divBdr>
        <w:top w:val="none" w:sz="0" w:space="0" w:color="auto"/>
        <w:left w:val="none" w:sz="0" w:space="0" w:color="auto"/>
        <w:bottom w:val="none" w:sz="0" w:space="0" w:color="auto"/>
        <w:right w:val="none" w:sz="0" w:space="0" w:color="auto"/>
      </w:divBdr>
    </w:div>
    <w:div w:id="1958372175">
      <w:bodyDiv w:val="1"/>
      <w:marLeft w:val="0"/>
      <w:marRight w:val="0"/>
      <w:marTop w:val="0"/>
      <w:marBottom w:val="0"/>
      <w:divBdr>
        <w:top w:val="none" w:sz="0" w:space="0" w:color="auto"/>
        <w:left w:val="none" w:sz="0" w:space="0" w:color="auto"/>
        <w:bottom w:val="none" w:sz="0" w:space="0" w:color="auto"/>
        <w:right w:val="none" w:sz="0" w:space="0" w:color="auto"/>
      </w:divBdr>
    </w:div>
    <w:div w:id="1975914170">
      <w:bodyDiv w:val="1"/>
      <w:marLeft w:val="0"/>
      <w:marRight w:val="0"/>
      <w:marTop w:val="0"/>
      <w:marBottom w:val="0"/>
      <w:divBdr>
        <w:top w:val="none" w:sz="0" w:space="0" w:color="auto"/>
        <w:left w:val="none" w:sz="0" w:space="0" w:color="auto"/>
        <w:bottom w:val="none" w:sz="0" w:space="0" w:color="auto"/>
        <w:right w:val="none" w:sz="0" w:space="0" w:color="auto"/>
      </w:divBdr>
    </w:div>
    <w:div w:id="1976132747">
      <w:bodyDiv w:val="1"/>
      <w:marLeft w:val="0"/>
      <w:marRight w:val="0"/>
      <w:marTop w:val="0"/>
      <w:marBottom w:val="0"/>
      <w:divBdr>
        <w:top w:val="none" w:sz="0" w:space="0" w:color="auto"/>
        <w:left w:val="none" w:sz="0" w:space="0" w:color="auto"/>
        <w:bottom w:val="none" w:sz="0" w:space="0" w:color="auto"/>
        <w:right w:val="none" w:sz="0" w:space="0" w:color="auto"/>
      </w:divBdr>
    </w:div>
    <w:div w:id="1979608164">
      <w:bodyDiv w:val="1"/>
      <w:marLeft w:val="0"/>
      <w:marRight w:val="0"/>
      <w:marTop w:val="0"/>
      <w:marBottom w:val="0"/>
      <w:divBdr>
        <w:top w:val="none" w:sz="0" w:space="0" w:color="auto"/>
        <w:left w:val="none" w:sz="0" w:space="0" w:color="auto"/>
        <w:bottom w:val="none" w:sz="0" w:space="0" w:color="auto"/>
        <w:right w:val="none" w:sz="0" w:space="0" w:color="auto"/>
      </w:divBdr>
    </w:div>
    <w:div w:id="1985893033">
      <w:bodyDiv w:val="1"/>
      <w:marLeft w:val="0"/>
      <w:marRight w:val="0"/>
      <w:marTop w:val="0"/>
      <w:marBottom w:val="0"/>
      <w:divBdr>
        <w:top w:val="none" w:sz="0" w:space="0" w:color="auto"/>
        <w:left w:val="none" w:sz="0" w:space="0" w:color="auto"/>
        <w:bottom w:val="none" w:sz="0" w:space="0" w:color="auto"/>
        <w:right w:val="none" w:sz="0" w:space="0" w:color="auto"/>
      </w:divBdr>
    </w:div>
    <w:div w:id="1986004173">
      <w:bodyDiv w:val="1"/>
      <w:marLeft w:val="0"/>
      <w:marRight w:val="0"/>
      <w:marTop w:val="0"/>
      <w:marBottom w:val="0"/>
      <w:divBdr>
        <w:top w:val="none" w:sz="0" w:space="0" w:color="auto"/>
        <w:left w:val="none" w:sz="0" w:space="0" w:color="auto"/>
        <w:bottom w:val="none" w:sz="0" w:space="0" w:color="auto"/>
        <w:right w:val="none" w:sz="0" w:space="0" w:color="auto"/>
      </w:divBdr>
    </w:div>
    <w:div w:id="2005354334">
      <w:bodyDiv w:val="1"/>
      <w:marLeft w:val="0"/>
      <w:marRight w:val="0"/>
      <w:marTop w:val="0"/>
      <w:marBottom w:val="0"/>
      <w:divBdr>
        <w:top w:val="none" w:sz="0" w:space="0" w:color="auto"/>
        <w:left w:val="none" w:sz="0" w:space="0" w:color="auto"/>
        <w:bottom w:val="none" w:sz="0" w:space="0" w:color="auto"/>
        <w:right w:val="none" w:sz="0" w:space="0" w:color="auto"/>
      </w:divBdr>
    </w:div>
    <w:div w:id="2029796409">
      <w:bodyDiv w:val="1"/>
      <w:marLeft w:val="0"/>
      <w:marRight w:val="0"/>
      <w:marTop w:val="0"/>
      <w:marBottom w:val="0"/>
      <w:divBdr>
        <w:top w:val="none" w:sz="0" w:space="0" w:color="auto"/>
        <w:left w:val="none" w:sz="0" w:space="0" w:color="auto"/>
        <w:bottom w:val="none" w:sz="0" w:space="0" w:color="auto"/>
        <w:right w:val="none" w:sz="0" w:space="0" w:color="auto"/>
      </w:divBdr>
    </w:div>
    <w:div w:id="2032759429">
      <w:bodyDiv w:val="1"/>
      <w:marLeft w:val="0"/>
      <w:marRight w:val="0"/>
      <w:marTop w:val="0"/>
      <w:marBottom w:val="0"/>
      <w:divBdr>
        <w:top w:val="none" w:sz="0" w:space="0" w:color="auto"/>
        <w:left w:val="none" w:sz="0" w:space="0" w:color="auto"/>
        <w:bottom w:val="none" w:sz="0" w:space="0" w:color="auto"/>
        <w:right w:val="none" w:sz="0" w:space="0" w:color="auto"/>
      </w:divBdr>
    </w:div>
    <w:div w:id="2048143610">
      <w:bodyDiv w:val="1"/>
      <w:marLeft w:val="0"/>
      <w:marRight w:val="0"/>
      <w:marTop w:val="0"/>
      <w:marBottom w:val="0"/>
      <w:divBdr>
        <w:top w:val="none" w:sz="0" w:space="0" w:color="auto"/>
        <w:left w:val="none" w:sz="0" w:space="0" w:color="auto"/>
        <w:bottom w:val="none" w:sz="0" w:space="0" w:color="auto"/>
        <w:right w:val="none" w:sz="0" w:space="0" w:color="auto"/>
      </w:divBdr>
    </w:div>
    <w:div w:id="2054192461">
      <w:bodyDiv w:val="1"/>
      <w:marLeft w:val="0"/>
      <w:marRight w:val="0"/>
      <w:marTop w:val="0"/>
      <w:marBottom w:val="0"/>
      <w:divBdr>
        <w:top w:val="none" w:sz="0" w:space="0" w:color="auto"/>
        <w:left w:val="none" w:sz="0" w:space="0" w:color="auto"/>
        <w:bottom w:val="none" w:sz="0" w:space="0" w:color="auto"/>
        <w:right w:val="none" w:sz="0" w:space="0" w:color="auto"/>
      </w:divBdr>
    </w:div>
    <w:div w:id="2097240497">
      <w:bodyDiv w:val="1"/>
      <w:marLeft w:val="0"/>
      <w:marRight w:val="0"/>
      <w:marTop w:val="0"/>
      <w:marBottom w:val="0"/>
      <w:divBdr>
        <w:top w:val="none" w:sz="0" w:space="0" w:color="auto"/>
        <w:left w:val="none" w:sz="0" w:space="0" w:color="auto"/>
        <w:bottom w:val="none" w:sz="0" w:space="0" w:color="auto"/>
        <w:right w:val="none" w:sz="0" w:space="0" w:color="auto"/>
      </w:divBdr>
    </w:div>
    <w:div w:id="2108842572">
      <w:bodyDiv w:val="1"/>
      <w:marLeft w:val="0"/>
      <w:marRight w:val="0"/>
      <w:marTop w:val="0"/>
      <w:marBottom w:val="0"/>
      <w:divBdr>
        <w:top w:val="none" w:sz="0" w:space="0" w:color="auto"/>
        <w:left w:val="none" w:sz="0" w:space="0" w:color="auto"/>
        <w:bottom w:val="none" w:sz="0" w:space="0" w:color="auto"/>
        <w:right w:val="none" w:sz="0" w:space="0" w:color="auto"/>
      </w:divBdr>
    </w:div>
    <w:div w:id="2126537085">
      <w:bodyDiv w:val="1"/>
      <w:marLeft w:val="0"/>
      <w:marRight w:val="0"/>
      <w:marTop w:val="0"/>
      <w:marBottom w:val="0"/>
      <w:divBdr>
        <w:top w:val="none" w:sz="0" w:space="0" w:color="auto"/>
        <w:left w:val="none" w:sz="0" w:space="0" w:color="auto"/>
        <w:bottom w:val="none" w:sz="0" w:space="0" w:color="auto"/>
        <w:right w:val="none" w:sz="0" w:space="0" w:color="auto"/>
      </w:divBdr>
    </w:div>
    <w:div w:id="214068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3.xm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6.xml"/><Relationship Id="rId28" Type="http://schemas.openxmlformats.org/officeDocument/2006/relationships/chart" Target="charts/chart11.xml"/><Relationship Id="rId10" Type="http://schemas.openxmlformats.org/officeDocument/2006/relationships/image" Target="media/image20.jpg"/><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3.png"/><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Shared_Bloomberg\Property\Sector\Sector%20_%20tempalte_E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Disk%20E\&#20013;&#36798;&#35777;&#21048;\&#23450;&#26399;&#20135;&#21697;\&#21608;&#25253;\20200405\&#21608;&#25253;&#25968;&#25454;&#24211;%20with%20link20040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Disk%20E\&#20013;&#36798;&#35777;&#21048;\&#23450;&#26399;&#20135;&#21697;\&#21608;&#25253;\20200405\&#21608;&#25253;&#25968;&#25454;&#24211;%20with%20link20040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Disk%20E\&#20013;&#36798;&#35777;&#21048;\&#23450;&#26399;&#20135;&#21697;\&#21608;&#25253;\20200405\&#21608;&#25253;&#25968;&#25454;&#24211;%20with%20link200405.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Disk%20E\&#20013;&#36798;&#35777;&#21048;\&#23450;&#26399;&#20135;&#21697;\&#21608;&#25253;\20200405\&#21608;&#25253;&#25968;&#25454;&#24211;%20with%20link20040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Disk%20E\&#20013;&#36798;&#35777;&#21048;\&#23450;&#26399;&#20135;&#21697;\&#21608;&#25253;\20200405\&#21608;&#25253;&#25968;&#25454;&#24211;%20with%20link20040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Disk%20E\&#20013;&#36798;&#35777;&#21048;\&#23450;&#26399;&#20135;&#21697;\&#21608;&#25253;\20200405\&#21608;&#25253;&#25968;&#25454;&#24211;%20with%20link20040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Disk%20E\&#20013;&#36798;&#35777;&#21048;\&#23450;&#26399;&#20135;&#21697;\&#21608;&#25253;\20200405\&#21608;&#25253;&#25968;&#25454;&#24211;%20with%20link20040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Disk%20E\&#20013;&#36798;&#35777;&#21048;\&#23450;&#26399;&#20135;&#21697;\&#21608;&#25253;\20200405\&#21608;&#25253;&#25968;&#25454;&#24211;%20with%20link20040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Disk%20E\&#20013;&#36798;&#35777;&#21048;\&#23450;&#26399;&#20135;&#21697;\&#21608;&#25253;\20200405\&#21608;&#25253;&#25968;&#25454;&#24211;%20with%20link20040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Disk%20E\&#20013;&#36798;&#35777;&#21048;\&#23450;&#26399;&#20135;&#21697;\&#21608;&#25253;\20200405\&#21608;&#25253;&#25968;&#25454;&#24211;%20with%20link20040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Disk%20E\&#20013;&#36798;&#35777;&#21048;\&#23450;&#26399;&#20135;&#21697;\&#21608;&#25253;\20200405\&#21608;&#25253;&#25968;&#25454;&#24211;%20with%20link20040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56194777454619"/>
          <c:y val="2.1979012345679012E-2"/>
          <c:w val="0.7421487629361645"/>
          <c:h val="0.90101481481481482"/>
        </c:manualLayout>
      </c:layout>
      <c:barChart>
        <c:barDir val="bar"/>
        <c:grouping val="clustered"/>
        <c:varyColors val="0"/>
        <c:ser>
          <c:idx val="0"/>
          <c:order val="0"/>
          <c:tx>
            <c:strRef>
              <c:f>Stock!$C$2</c:f>
              <c:strCache>
                <c:ptCount val="1"/>
                <c:pt idx="0">
                  <c:v>Price Change(Weekly)</c:v>
                </c:pt>
              </c:strCache>
            </c:strRef>
          </c:tx>
          <c:spPr>
            <a:solidFill>
              <a:srgbClr val="C00000"/>
            </a:solidFill>
            <a:ln>
              <a:solidFill>
                <a:srgbClr val="C00000"/>
              </a:solidFill>
              <a:prstDash val="solid"/>
            </a:ln>
            <a:effectLst/>
          </c:spPr>
          <c:invertIfNegative val="0"/>
          <c:cat>
            <c:strRef>
              <c:f>Stock!$B$49:$B$68</c:f>
              <c:strCache>
                <c:ptCount val="20"/>
                <c:pt idx="0">
                  <c:v>Longfor</c:v>
                </c:pt>
                <c:pt idx="1">
                  <c:v>CIFI</c:v>
                </c:pt>
                <c:pt idx="2">
                  <c:v>Fantasia</c:v>
                </c:pt>
                <c:pt idx="3">
                  <c:v>Kaisa</c:v>
                </c:pt>
                <c:pt idx="4">
                  <c:v>Greenland HK</c:v>
                </c:pt>
                <c:pt idx="5">
                  <c:v>CNTD</c:v>
                </c:pt>
                <c:pt idx="6">
                  <c:v>Jingrui</c:v>
                </c:pt>
                <c:pt idx="7">
                  <c:v>Dexin</c:v>
                </c:pt>
                <c:pt idx="8">
                  <c:v>GreenTown</c:v>
                </c:pt>
                <c:pt idx="9">
                  <c:v>REDCO</c:v>
                </c:pt>
                <c:pt idx="10">
                  <c:v>Kerry PPT</c:v>
                </c:pt>
                <c:pt idx="11">
                  <c:v>COLI</c:v>
                </c:pt>
                <c:pt idx="12">
                  <c:v>Zhongan</c:v>
                </c:pt>
                <c:pt idx="13">
                  <c:v>Shimao</c:v>
                </c:pt>
                <c:pt idx="14">
                  <c:v>Zhongliang</c:v>
                </c:pt>
                <c:pt idx="15">
                  <c:v>Modern Land</c:v>
                </c:pt>
                <c:pt idx="16">
                  <c:v>Top Spring</c:v>
                </c:pt>
                <c:pt idx="17">
                  <c:v>Vanke PPT OVS</c:v>
                </c:pt>
                <c:pt idx="18">
                  <c:v>CM Land</c:v>
                </c:pt>
                <c:pt idx="19">
                  <c:v>LandSea</c:v>
                </c:pt>
              </c:strCache>
            </c:strRef>
          </c:cat>
          <c:val>
            <c:numRef>
              <c:f>Stock!$C$49:$C$68</c:f>
              <c:numCache>
                <c:formatCode>0.00%</c:formatCode>
                <c:ptCount val="20"/>
                <c:pt idx="0">
                  <c:v>3.5422343324250427E-2</c:v>
                </c:pt>
                <c:pt idx="1">
                  <c:v>3.7037037037036757E-2</c:v>
                </c:pt>
                <c:pt idx="2">
                  <c:v>3.7037037037036979E-2</c:v>
                </c:pt>
                <c:pt idx="3">
                  <c:v>3.7037037037036979E-2</c:v>
                </c:pt>
                <c:pt idx="4">
                  <c:v>4.0000000000000036E-2</c:v>
                </c:pt>
                <c:pt idx="5">
                  <c:v>4.1666666666666519E-2</c:v>
                </c:pt>
                <c:pt idx="6">
                  <c:v>4.20560747663552E-2</c:v>
                </c:pt>
                <c:pt idx="7">
                  <c:v>4.3918918918918859E-2</c:v>
                </c:pt>
                <c:pt idx="8">
                  <c:v>4.9645390070922168E-2</c:v>
                </c:pt>
                <c:pt idx="9">
                  <c:v>4.9707602339181367E-2</c:v>
                </c:pt>
                <c:pt idx="10">
                  <c:v>5.9063136456211973E-2</c:v>
                </c:pt>
                <c:pt idx="11">
                  <c:v>6.1571125265392768E-2</c:v>
                </c:pt>
                <c:pt idx="12">
                  <c:v>7.3394495412844263E-2</c:v>
                </c:pt>
                <c:pt idx="13">
                  <c:v>7.9150579150579103E-2</c:v>
                </c:pt>
                <c:pt idx="14">
                  <c:v>8.8345864661654172E-2</c:v>
                </c:pt>
                <c:pt idx="15">
                  <c:v>0.10309278350515472</c:v>
                </c:pt>
                <c:pt idx="16">
                  <c:v>0.13095238095238093</c:v>
                </c:pt>
                <c:pt idx="17">
                  <c:v>0.14855072463768138</c:v>
                </c:pt>
                <c:pt idx="18">
                  <c:v>0.23300970873786397</c:v>
                </c:pt>
                <c:pt idx="19">
                  <c:v>0.28571428571428581</c:v>
                </c:pt>
              </c:numCache>
            </c:numRef>
          </c:val>
          <c:extLst>
            <c:ext xmlns:c16="http://schemas.microsoft.com/office/drawing/2014/chart" uri="{C3380CC4-5D6E-409C-BE32-E72D297353CC}">
              <c16:uniqueId val="{00000000-CAA2-40A4-9C28-A90025B249E6}"/>
            </c:ext>
          </c:extLst>
        </c:ser>
        <c:dLbls>
          <c:showLegendKey val="0"/>
          <c:showVal val="0"/>
          <c:showCatName val="0"/>
          <c:showSerName val="0"/>
          <c:showPercent val="0"/>
          <c:showBubbleSize val="0"/>
        </c:dLbls>
        <c:gapWidth val="182"/>
        <c:axId val="-93581840"/>
        <c:axId val="-93573136"/>
      </c:barChart>
      <c:catAx>
        <c:axId val="-93581840"/>
        <c:scaling>
          <c:orientation val="minMax"/>
        </c:scaling>
        <c:delete val="0"/>
        <c:axPos val="l"/>
        <c:numFmt formatCode="General" sourceLinked="1"/>
        <c:majorTickMark val="none"/>
        <c:minorTickMark val="none"/>
        <c:tickLblPos val="low"/>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73136"/>
        <c:crosses val="autoZero"/>
        <c:auto val="1"/>
        <c:lblAlgn val="ctr"/>
        <c:lblOffset val="100"/>
        <c:noMultiLvlLbl val="0"/>
      </c:catAx>
      <c:valAx>
        <c:axId val="-93573136"/>
        <c:scaling>
          <c:orientation val="minMax"/>
        </c:scaling>
        <c:delete val="0"/>
        <c:axPos val="b"/>
        <c:numFmt formatCode="0%" sourceLinked="0"/>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81840"/>
        <c:crosses val="autoZero"/>
        <c:crossBetween val="between"/>
      </c:valAx>
      <c:spPr>
        <a:noFill/>
        <a:ln w="25400">
          <a:noFill/>
        </a:ln>
        <a:effectLst/>
      </c:spPr>
    </c:plotArea>
    <c:legend>
      <c:legendPos val="b"/>
      <c:layout>
        <c:manualLayout>
          <c:xMode val="edge"/>
          <c:yMode val="edge"/>
          <c:x val="0.64744623801318257"/>
          <c:y val="0.82249876543209877"/>
          <c:w val="0.34626969469836877"/>
          <c:h val="5.7899691358024689E-2"/>
        </c:manualLayout>
      </c:layout>
      <c:overlay val="0"/>
      <c:spPr>
        <a:noFill/>
        <a:ln w="25400">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legend>
    <c:plotVisOnly val="1"/>
    <c:dispBlanksAs val="gap"/>
    <c:showDLblsOverMax val="0"/>
  </c:chart>
  <c:spPr>
    <a:solidFill>
      <a:srgbClr val="FFFFFF"/>
    </a:solidFill>
    <a:ln w="25400" cap="flat" cmpd="sng" algn="ctr">
      <a:noFill/>
      <a:round/>
    </a:ln>
    <a:effectLst/>
  </c:spPr>
  <c:txPr>
    <a:bodyPr/>
    <a:lstStyle/>
    <a:p>
      <a:pPr>
        <a:defRPr sz="800" baseline="0">
          <a:solidFill>
            <a:schemeClr val="tx1"/>
          </a:solidFill>
          <a:latin typeface="Times New Roman" panose="02020603050405020304" pitchFamily="18" charset="0"/>
          <a:ea typeface="楷体" panose="02010609060101010101" pitchFamily="49" charset="-122"/>
          <a:cs typeface="华文细黑"/>
        </a:defRPr>
      </a:pPr>
      <a:endParaRPr lang="zh-C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651635887856362E-2"/>
          <c:y val="6.1865903125745643E-2"/>
          <c:w val="0.8998582834803307"/>
          <c:h val="0.82181088326526031"/>
        </c:manualLayout>
      </c:layout>
      <c:barChart>
        <c:barDir val="col"/>
        <c:grouping val="clustered"/>
        <c:varyColors val="0"/>
        <c:ser>
          <c:idx val="0"/>
          <c:order val="0"/>
          <c:tx>
            <c:strRef>
              <c:f>'Listed&amp;Price'!$H$18</c:f>
              <c:strCache>
                <c:ptCount val="1"/>
                <c:pt idx="0">
                  <c:v>2nd House Listed for-sale Amount Index</c:v>
                </c:pt>
              </c:strCache>
            </c:strRef>
          </c:tx>
          <c:spPr>
            <a:solidFill>
              <a:schemeClr val="bg1">
                <a:lumMod val="85000"/>
              </a:schemeClr>
            </a:solidFill>
            <a:ln>
              <a:solidFill>
                <a:schemeClr val="bg1">
                  <a:lumMod val="85000"/>
                </a:schemeClr>
              </a:solidFill>
            </a:ln>
            <a:effectLst/>
          </c:spPr>
          <c:invertIfNegative val="0"/>
          <c:cat>
            <c:numRef>
              <c:f>'Listed&amp;Price'!$A$19:$A$292</c:f>
              <c:numCache>
                <c:formatCode>m/d/yyyy</c:formatCode>
                <c:ptCount val="274"/>
                <c:pt idx="0">
                  <c:v>42008</c:v>
                </c:pt>
                <c:pt idx="1">
                  <c:v>42015</c:v>
                </c:pt>
                <c:pt idx="2">
                  <c:v>42022</c:v>
                </c:pt>
                <c:pt idx="3">
                  <c:v>42029</c:v>
                </c:pt>
                <c:pt idx="4">
                  <c:v>42036</c:v>
                </c:pt>
                <c:pt idx="5">
                  <c:v>42043</c:v>
                </c:pt>
                <c:pt idx="6">
                  <c:v>42050</c:v>
                </c:pt>
                <c:pt idx="7">
                  <c:v>42057</c:v>
                </c:pt>
                <c:pt idx="8">
                  <c:v>42064</c:v>
                </c:pt>
                <c:pt idx="9">
                  <c:v>42071</c:v>
                </c:pt>
                <c:pt idx="10">
                  <c:v>42078</c:v>
                </c:pt>
                <c:pt idx="11">
                  <c:v>42085</c:v>
                </c:pt>
                <c:pt idx="12">
                  <c:v>42092</c:v>
                </c:pt>
                <c:pt idx="13">
                  <c:v>42099</c:v>
                </c:pt>
                <c:pt idx="14">
                  <c:v>42106</c:v>
                </c:pt>
                <c:pt idx="15">
                  <c:v>42113</c:v>
                </c:pt>
                <c:pt idx="16">
                  <c:v>42120</c:v>
                </c:pt>
                <c:pt idx="17">
                  <c:v>42127</c:v>
                </c:pt>
                <c:pt idx="18">
                  <c:v>42134</c:v>
                </c:pt>
                <c:pt idx="19">
                  <c:v>42141</c:v>
                </c:pt>
                <c:pt idx="20">
                  <c:v>42148</c:v>
                </c:pt>
                <c:pt idx="21">
                  <c:v>42155</c:v>
                </c:pt>
                <c:pt idx="22">
                  <c:v>42162</c:v>
                </c:pt>
                <c:pt idx="23">
                  <c:v>42169</c:v>
                </c:pt>
                <c:pt idx="24">
                  <c:v>42176</c:v>
                </c:pt>
                <c:pt idx="25">
                  <c:v>42183</c:v>
                </c:pt>
                <c:pt idx="26">
                  <c:v>42190</c:v>
                </c:pt>
                <c:pt idx="27">
                  <c:v>42197</c:v>
                </c:pt>
                <c:pt idx="28">
                  <c:v>42204</c:v>
                </c:pt>
                <c:pt idx="29">
                  <c:v>42211</c:v>
                </c:pt>
                <c:pt idx="30">
                  <c:v>42218</c:v>
                </c:pt>
                <c:pt idx="31">
                  <c:v>42225</c:v>
                </c:pt>
                <c:pt idx="32">
                  <c:v>42232</c:v>
                </c:pt>
                <c:pt idx="33">
                  <c:v>42239</c:v>
                </c:pt>
                <c:pt idx="34">
                  <c:v>42246</c:v>
                </c:pt>
                <c:pt idx="35">
                  <c:v>42253</c:v>
                </c:pt>
                <c:pt idx="36">
                  <c:v>42260</c:v>
                </c:pt>
                <c:pt idx="37">
                  <c:v>42267</c:v>
                </c:pt>
                <c:pt idx="38">
                  <c:v>42274</c:v>
                </c:pt>
                <c:pt idx="39">
                  <c:v>42281</c:v>
                </c:pt>
                <c:pt idx="40">
                  <c:v>42288</c:v>
                </c:pt>
                <c:pt idx="41">
                  <c:v>42295</c:v>
                </c:pt>
                <c:pt idx="42">
                  <c:v>42302</c:v>
                </c:pt>
                <c:pt idx="43">
                  <c:v>42309</c:v>
                </c:pt>
                <c:pt idx="44">
                  <c:v>42316</c:v>
                </c:pt>
                <c:pt idx="45">
                  <c:v>42323</c:v>
                </c:pt>
                <c:pt idx="46">
                  <c:v>42330</c:v>
                </c:pt>
                <c:pt idx="47">
                  <c:v>42337</c:v>
                </c:pt>
                <c:pt idx="48">
                  <c:v>42344</c:v>
                </c:pt>
                <c:pt idx="49">
                  <c:v>42351</c:v>
                </c:pt>
                <c:pt idx="50">
                  <c:v>42358</c:v>
                </c:pt>
                <c:pt idx="51">
                  <c:v>42365</c:v>
                </c:pt>
                <c:pt idx="52">
                  <c:v>42372</c:v>
                </c:pt>
                <c:pt idx="53">
                  <c:v>42379</c:v>
                </c:pt>
                <c:pt idx="54">
                  <c:v>42386</c:v>
                </c:pt>
                <c:pt idx="55">
                  <c:v>42393</c:v>
                </c:pt>
                <c:pt idx="56">
                  <c:v>42400</c:v>
                </c:pt>
                <c:pt idx="57">
                  <c:v>42407</c:v>
                </c:pt>
                <c:pt idx="58">
                  <c:v>42414</c:v>
                </c:pt>
                <c:pt idx="59">
                  <c:v>42421</c:v>
                </c:pt>
                <c:pt idx="60">
                  <c:v>42428</c:v>
                </c:pt>
                <c:pt idx="61">
                  <c:v>42435</c:v>
                </c:pt>
                <c:pt idx="62">
                  <c:v>42442</c:v>
                </c:pt>
                <c:pt idx="63">
                  <c:v>42449</c:v>
                </c:pt>
                <c:pt idx="64">
                  <c:v>42456</c:v>
                </c:pt>
                <c:pt idx="65">
                  <c:v>42463</c:v>
                </c:pt>
                <c:pt idx="66">
                  <c:v>42470</c:v>
                </c:pt>
                <c:pt idx="67">
                  <c:v>42477</c:v>
                </c:pt>
                <c:pt idx="68">
                  <c:v>42484</c:v>
                </c:pt>
                <c:pt idx="69">
                  <c:v>42491</c:v>
                </c:pt>
                <c:pt idx="70">
                  <c:v>42498</c:v>
                </c:pt>
                <c:pt idx="71">
                  <c:v>42505</c:v>
                </c:pt>
                <c:pt idx="72">
                  <c:v>42512</c:v>
                </c:pt>
                <c:pt idx="73">
                  <c:v>42519</c:v>
                </c:pt>
                <c:pt idx="74">
                  <c:v>42526</c:v>
                </c:pt>
                <c:pt idx="75">
                  <c:v>42533</c:v>
                </c:pt>
                <c:pt idx="76">
                  <c:v>42540</c:v>
                </c:pt>
                <c:pt idx="77">
                  <c:v>42547</c:v>
                </c:pt>
                <c:pt idx="78">
                  <c:v>42554</c:v>
                </c:pt>
                <c:pt idx="79">
                  <c:v>42561</c:v>
                </c:pt>
                <c:pt idx="80">
                  <c:v>42568</c:v>
                </c:pt>
                <c:pt idx="81">
                  <c:v>42575</c:v>
                </c:pt>
                <c:pt idx="82">
                  <c:v>42582</c:v>
                </c:pt>
                <c:pt idx="83">
                  <c:v>42589</c:v>
                </c:pt>
                <c:pt idx="84">
                  <c:v>42596</c:v>
                </c:pt>
                <c:pt idx="85">
                  <c:v>42603</c:v>
                </c:pt>
                <c:pt idx="86">
                  <c:v>42610</c:v>
                </c:pt>
                <c:pt idx="87">
                  <c:v>42617</c:v>
                </c:pt>
                <c:pt idx="88">
                  <c:v>42624</c:v>
                </c:pt>
                <c:pt idx="89">
                  <c:v>42631</c:v>
                </c:pt>
                <c:pt idx="90">
                  <c:v>42638</c:v>
                </c:pt>
                <c:pt idx="91">
                  <c:v>42645</c:v>
                </c:pt>
                <c:pt idx="92">
                  <c:v>42652</c:v>
                </c:pt>
                <c:pt idx="93">
                  <c:v>42659</c:v>
                </c:pt>
                <c:pt idx="94">
                  <c:v>42666</c:v>
                </c:pt>
                <c:pt idx="95">
                  <c:v>42673</c:v>
                </c:pt>
                <c:pt idx="96">
                  <c:v>42680</c:v>
                </c:pt>
                <c:pt idx="97">
                  <c:v>42687</c:v>
                </c:pt>
                <c:pt idx="98">
                  <c:v>42694</c:v>
                </c:pt>
                <c:pt idx="99">
                  <c:v>42701</c:v>
                </c:pt>
                <c:pt idx="100">
                  <c:v>42708</c:v>
                </c:pt>
                <c:pt idx="101">
                  <c:v>42715</c:v>
                </c:pt>
                <c:pt idx="102">
                  <c:v>42722</c:v>
                </c:pt>
                <c:pt idx="103">
                  <c:v>42729</c:v>
                </c:pt>
                <c:pt idx="104">
                  <c:v>42736</c:v>
                </c:pt>
                <c:pt idx="105">
                  <c:v>42743</c:v>
                </c:pt>
                <c:pt idx="106">
                  <c:v>42750</c:v>
                </c:pt>
                <c:pt idx="107">
                  <c:v>42757</c:v>
                </c:pt>
                <c:pt idx="108">
                  <c:v>42764</c:v>
                </c:pt>
                <c:pt idx="109">
                  <c:v>42771</c:v>
                </c:pt>
                <c:pt idx="110">
                  <c:v>42778</c:v>
                </c:pt>
                <c:pt idx="111">
                  <c:v>42785</c:v>
                </c:pt>
                <c:pt idx="112">
                  <c:v>42792</c:v>
                </c:pt>
                <c:pt idx="113">
                  <c:v>42799</c:v>
                </c:pt>
                <c:pt idx="114">
                  <c:v>42806</c:v>
                </c:pt>
                <c:pt idx="115">
                  <c:v>42813</c:v>
                </c:pt>
                <c:pt idx="116">
                  <c:v>42820</c:v>
                </c:pt>
                <c:pt idx="117">
                  <c:v>42827</c:v>
                </c:pt>
                <c:pt idx="118">
                  <c:v>42834</c:v>
                </c:pt>
                <c:pt idx="119">
                  <c:v>42841</c:v>
                </c:pt>
                <c:pt idx="120">
                  <c:v>42848</c:v>
                </c:pt>
                <c:pt idx="121">
                  <c:v>42855</c:v>
                </c:pt>
                <c:pt idx="122">
                  <c:v>42862</c:v>
                </c:pt>
                <c:pt idx="123">
                  <c:v>42869</c:v>
                </c:pt>
                <c:pt idx="124">
                  <c:v>42876</c:v>
                </c:pt>
                <c:pt idx="125">
                  <c:v>42883</c:v>
                </c:pt>
                <c:pt idx="126">
                  <c:v>42890</c:v>
                </c:pt>
                <c:pt idx="127">
                  <c:v>42897</c:v>
                </c:pt>
                <c:pt idx="128">
                  <c:v>42904</c:v>
                </c:pt>
                <c:pt idx="129">
                  <c:v>42911</c:v>
                </c:pt>
                <c:pt idx="130">
                  <c:v>42918</c:v>
                </c:pt>
                <c:pt idx="131">
                  <c:v>42925</c:v>
                </c:pt>
                <c:pt idx="132">
                  <c:v>42932</c:v>
                </c:pt>
                <c:pt idx="133">
                  <c:v>42939</c:v>
                </c:pt>
                <c:pt idx="134">
                  <c:v>42946</c:v>
                </c:pt>
                <c:pt idx="135">
                  <c:v>42953</c:v>
                </c:pt>
                <c:pt idx="136">
                  <c:v>42960</c:v>
                </c:pt>
                <c:pt idx="137">
                  <c:v>42967</c:v>
                </c:pt>
                <c:pt idx="138">
                  <c:v>42974</c:v>
                </c:pt>
                <c:pt idx="139">
                  <c:v>42981</c:v>
                </c:pt>
                <c:pt idx="140">
                  <c:v>42988</c:v>
                </c:pt>
                <c:pt idx="141">
                  <c:v>42995</c:v>
                </c:pt>
                <c:pt idx="142">
                  <c:v>43002</c:v>
                </c:pt>
                <c:pt idx="143">
                  <c:v>43009</c:v>
                </c:pt>
                <c:pt idx="144">
                  <c:v>43016</c:v>
                </c:pt>
                <c:pt idx="145">
                  <c:v>43023</c:v>
                </c:pt>
                <c:pt idx="146">
                  <c:v>43030</c:v>
                </c:pt>
                <c:pt idx="147">
                  <c:v>43037</c:v>
                </c:pt>
                <c:pt idx="148">
                  <c:v>43044</c:v>
                </c:pt>
                <c:pt idx="149">
                  <c:v>43051</c:v>
                </c:pt>
                <c:pt idx="150">
                  <c:v>43058</c:v>
                </c:pt>
                <c:pt idx="151">
                  <c:v>43065</c:v>
                </c:pt>
                <c:pt idx="152">
                  <c:v>43072</c:v>
                </c:pt>
                <c:pt idx="153">
                  <c:v>43079</c:v>
                </c:pt>
                <c:pt idx="154">
                  <c:v>43086</c:v>
                </c:pt>
                <c:pt idx="155">
                  <c:v>43093</c:v>
                </c:pt>
                <c:pt idx="156">
                  <c:v>43100</c:v>
                </c:pt>
                <c:pt idx="157">
                  <c:v>43107</c:v>
                </c:pt>
                <c:pt idx="158">
                  <c:v>43114</c:v>
                </c:pt>
                <c:pt idx="159">
                  <c:v>43121</c:v>
                </c:pt>
                <c:pt idx="160">
                  <c:v>43128</c:v>
                </c:pt>
                <c:pt idx="161">
                  <c:v>43135</c:v>
                </c:pt>
                <c:pt idx="162">
                  <c:v>43142</c:v>
                </c:pt>
                <c:pt idx="163">
                  <c:v>43149</c:v>
                </c:pt>
                <c:pt idx="164">
                  <c:v>43156</c:v>
                </c:pt>
                <c:pt idx="165">
                  <c:v>43163</c:v>
                </c:pt>
                <c:pt idx="166">
                  <c:v>43170</c:v>
                </c:pt>
                <c:pt idx="167">
                  <c:v>43177</c:v>
                </c:pt>
                <c:pt idx="168">
                  <c:v>43184</c:v>
                </c:pt>
                <c:pt idx="169">
                  <c:v>43191</c:v>
                </c:pt>
                <c:pt idx="170">
                  <c:v>43198</c:v>
                </c:pt>
                <c:pt idx="171">
                  <c:v>43205</c:v>
                </c:pt>
                <c:pt idx="172">
                  <c:v>43212</c:v>
                </c:pt>
                <c:pt idx="173">
                  <c:v>43219</c:v>
                </c:pt>
                <c:pt idx="174">
                  <c:v>43226</c:v>
                </c:pt>
                <c:pt idx="175">
                  <c:v>43233</c:v>
                </c:pt>
                <c:pt idx="176">
                  <c:v>43240</c:v>
                </c:pt>
                <c:pt idx="177">
                  <c:v>43247</c:v>
                </c:pt>
                <c:pt idx="178">
                  <c:v>43254</c:v>
                </c:pt>
                <c:pt idx="179">
                  <c:v>43261</c:v>
                </c:pt>
                <c:pt idx="180">
                  <c:v>43268</c:v>
                </c:pt>
                <c:pt idx="181">
                  <c:v>43275</c:v>
                </c:pt>
                <c:pt idx="182">
                  <c:v>43282</c:v>
                </c:pt>
                <c:pt idx="183">
                  <c:v>43289</c:v>
                </c:pt>
                <c:pt idx="184">
                  <c:v>43296</c:v>
                </c:pt>
                <c:pt idx="185">
                  <c:v>43303</c:v>
                </c:pt>
                <c:pt idx="186">
                  <c:v>43310</c:v>
                </c:pt>
                <c:pt idx="187">
                  <c:v>43317</c:v>
                </c:pt>
                <c:pt idx="188">
                  <c:v>43324</c:v>
                </c:pt>
                <c:pt idx="189">
                  <c:v>43331</c:v>
                </c:pt>
                <c:pt idx="190">
                  <c:v>43338</c:v>
                </c:pt>
                <c:pt idx="191">
                  <c:v>43345</c:v>
                </c:pt>
                <c:pt idx="192">
                  <c:v>43352</c:v>
                </c:pt>
                <c:pt idx="193">
                  <c:v>43359</c:v>
                </c:pt>
                <c:pt idx="194">
                  <c:v>43366</c:v>
                </c:pt>
                <c:pt idx="195">
                  <c:v>43373</c:v>
                </c:pt>
                <c:pt idx="196">
                  <c:v>43380</c:v>
                </c:pt>
                <c:pt idx="197">
                  <c:v>43387</c:v>
                </c:pt>
                <c:pt idx="198">
                  <c:v>43394</c:v>
                </c:pt>
                <c:pt idx="199">
                  <c:v>43401</c:v>
                </c:pt>
                <c:pt idx="200">
                  <c:v>43408</c:v>
                </c:pt>
                <c:pt idx="201">
                  <c:v>43415</c:v>
                </c:pt>
                <c:pt idx="202">
                  <c:v>43422</c:v>
                </c:pt>
                <c:pt idx="203">
                  <c:v>43429</c:v>
                </c:pt>
                <c:pt idx="204">
                  <c:v>43436</c:v>
                </c:pt>
                <c:pt idx="205">
                  <c:v>43443</c:v>
                </c:pt>
                <c:pt idx="206">
                  <c:v>43450</c:v>
                </c:pt>
                <c:pt idx="207">
                  <c:v>43457</c:v>
                </c:pt>
                <c:pt idx="208">
                  <c:v>43464</c:v>
                </c:pt>
                <c:pt idx="209">
                  <c:v>43471</c:v>
                </c:pt>
                <c:pt idx="210">
                  <c:v>43478</c:v>
                </c:pt>
                <c:pt idx="211">
                  <c:v>43485</c:v>
                </c:pt>
                <c:pt idx="212">
                  <c:v>43492</c:v>
                </c:pt>
                <c:pt idx="213">
                  <c:v>43499</c:v>
                </c:pt>
                <c:pt idx="214">
                  <c:v>43506</c:v>
                </c:pt>
                <c:pt idx="215">
                  <c:v>43513</c:v>
                </c:pt>
                <c:pt idx="216">
                  <c:v>43520</c:v>
                </c:pt>
                <c:pt idx="217">
                  <c:v>43527</c:v>
                </c:pt>
                <c:pt idx="218">
                  <c:v>43534</c:v>
                </c:pt>
                <c:pt idx="219">
                  <c:v>43541</c:v>
                </c:pt>
                <c:pt idx="220">
                  <c:v>43548</c:v>
                </c:pt>
                <c:pt idx="221">
                  <c:v>43555</c:v>
                </c:pt>
                <c:pt idx="222">
                  <c:v>43562</c:v>
                </c:pt>
                <c:pt idx="223">
                  <c:v>43569</c:v>
                </c:pt>
                <c:pt idx="224">
                  <c:v>43576</c:v>
                </c:pt>
                <c:pt idx="225">
                  <c:v>43583</c:v>
                </c:pt>
                <c:pt idx="226">
                  <c:v>43590</c:v>
                </c:pt>
                <c:pt idx="227">
                  <c:v>43597</c:v>
                </c:pt>
                <c:pt idx="228">
                  <c:v>43604</c:v>
                </c:pt>
                <c:pt idx="229">
                  <c:v>43611</c:v>
                </c:pt>
                <c:pt idx="230">
                  <c:v>43618</c:v>
                </c:pt>
                <c:pt idx="231">
                  <c:v>43625</c:v>
                </c:pt>
                <c:pt idx="232">
                  <c:v>43632</c:v>
                </c:pt>
                <c:pt idx="233">
                  <c:v>43639</c:v>
                </c:pt>
                <c:pt idx="234">
                  <c:v>43646</c:v>
                </c:pt>
                <c:pt idx="235">
                  <c:v>43653</c:v>
                </c:pt>
                <c:pt idx="236">
                  <c:v>43660</c:v>
                </c:pt>
                <c:pt idx="237">
                  <c:v>43667</c:v>
                </c:pt>
                <c:pt idx="238">
                  <c:v>43674</c:v>
                </c:pt>
                <c:pt idx="239">
                  <c:v>43681</c:v>
                </c:pt>
                <c:pt idx="240">
                  <c:v>43688</c:v>
                </c:pt>
                <c:pt idx="241">
                  <c:v>43695</c:v>
                </c:pt>
                <c:pt idx="242">
                  <c:v>43702</c:v>
                </c:pt>
                <c:pt idx="243">
                  <c:v>43709</c:v>
                </c:pt>
                <c:pt idx="244">
                  <c:v>43716</c:v>
                </c:pt>
                <c:pt idx="245">
                  <c:v>43723</c:v>
                </c:pt>
                <c:pt idx="246">
                  <c:v>43730</c:v>
                </c:pt>
                <c:pt idx="247">
                  <c:v>43737</c:v>
                </c:pt>
                <c:pt idx="248">
                  <c:v>43744</c:v>
                </c:pt>
                <c:pt idx="249">
                  <c:v>43751</c:v>
                </c:pt>
                <c:pt idx="250">
                  <c:v>43758</c:v>
                </c:pt>
                <c:pt idx="251">
                  <c:v>43765</c:v>
                </c:pt>
                <c:pt idx="252">
                  <c:v>43772</c:v>
                </c:pt>
                <c:pt idx="253">
                  <c:v>43779</c:v>
                </c:pt>
                <c:pt idx="254">
                  <c:v>43786</c:v>
                </c:pt>
                <c:pt idx="255">
                  <c:v>43793</c:v>
                </c:pt>
                <c:pt idx="256">
                  <c:v>43800</c:v>
                </c:pt>
                <c:pt idx="257">
                  <c:v>43807</c:v>
                </c:pt>
                <c:pt idx="258">
                  <c:v>43814</c:v>
                </c:pt>
                <c:pt idx="259">
                  <c:v>43821</c:v>
                </c:pt>
                <c:pt idx="260">
                  <c:v>43828</c:v>
                </c:pt>
                <c:pt idx="261">
                  <c:v>43835</c:v>
                </c:pt>
                <c:pt idx="262">
                  <c:v>43842</c:v>
                </c:pt>
                <c:pt idx="263">
                  <c:v>43849</c:v>
                </c:pt>
                <c:pt idx="264">
                  <c:v>43856</c:v>
                </c:pt>
                <c:pt idx="265">
                  <c:v>43863</c:v>
                </c:pt>
                <c:pt idx="266">
                  <c:v>43870</c:v>
                </c:pt>
                <c:pt idx="267">
                  <c:v>43877</c:v>
                </c:pt>
                <c:pt idx="268">
                  <c:v>43884</c:v>
                </c:pt>
                <c:pt idx="269">
                  <c:v>43891</c:v>
                </c:pt>
                <c:pt idx="270">
                  <c:v>43898</c:v>
                </c:pt>
                <c:pt idx="271">
                  <c:v>43905</c:v>
                </c:pt>
                <c:pt idx="272">
                  <c:v>43912</c:v>
                </c:pt>
                <c:pt idx="273">
                  <c:v>43919</c:v>
                </c:pt>
              </c:numCache>
            </c:numRef>
          </c:cat>
          <c:val>
            <c:numRef>
              <c:f>'Listed&amp;Price'!$H$19:$H$292</c:f>
              <c:numCache>
                <c:formatCode>General</c:formatCode>
                <c:ptCount val="274"/>
                <c:pt idx="0">
                  <c:v>100</c:v>
                </c:pt>
                <c:pt idx="1">
                  <c:v>59.78</c:v>
                </c:pt>
                <c:pt idx="2">
                  <c:v>55.31</c:v>
                </c:pt>
                <c:pt idx="3">
                  <c:v>50.96</c:v>
                </c:pt>
                <c:pt idx="4">
                  <c:v>48.19</c:v>
                </c:pt>
                <c:pt idx="5">
                  <c:v>44.18</c:v>
                </c:pt>
                <c:pt idx="6">
                  <c:v>33.08</c:v>
                </c:pt>
                <c:pt idx="7">
                  <c:v>10.49</c:v>
                </c:pt>
                <c:pt idx="8">
                  <c:v>34.86</c:v>
                </c:pt>
                <c:pt idx="9">
                  <c:v>49.09</c:v>
                </c:pt>
                <c:pt idx="10">
                  <c:v>52.74</c:v>
                </c:pt>
                <c:pt idx="11">
                  <c:v>66.430000000000007</c:v>
                </c:pt>
                <c:pt idx="12">
                  <c:v>65.42</c:v>
                </c:pt>
                <c:pt idx="13">
                  <c:v>72.12</c:v>
                </c:pt>
                <c:pt idx="14">
                  <c:v>81.400000000000006</c:v>
                </c:pt>
                <c:pt idx="15">
                  <c:v>133.68</c:v>
                </c:pt>
                <c:pt idx="16">
                  <c:v>89.4</c:v>
                </c:pt>
                <c:pt idx="17">
                  <c:v>145.28</c:v>
                </c:pt>
                <c:pt idx="18">
                  <c:v>91.65</c:v>
                </c:pt>
                <c:pt idx="19">
                  <c:v>85.52</c:v>
                </c:pt>
                <c:pt idx="20">
                  <c:v>83.96</c:v>
                </c:pt>
                <c:pt idx="21">
                  <c:v>77.09</c:v>
                </c:pt>
                <c:pt idx="22">
                  <c:v>136.11000000000001</c:v>
                </c:pt>
                <c:pt idx="23">
                  <c:v>105.11</c:v>
                </c:pt>
                <c:pt idx="24">
                  <c:v>85.07</c:v>
                </c:pt>
                <c:pt idx="25">
                  <c:v>82.72</c:v>
                </c:pt>
                <c:pt idx="26">
                  <c:v>116.99</c:v>
                </c:pt>
                <c:pt idx="27">
                  <c:v>114.82</c:v>
                </c:pt>
                <c:pt idx="28">
                  <c:v>107.51</c:v>
                </c:pt>
                <c:pt idx="29">
                  <c:v>107.27</c:v>
                </c:pt>
                <c:pt idx="30">
                  <c:v>194.26</c:v>
                </c:pt>
                <c:pt idx="31">
                  <c:v>173.42</c:v>
                </c:pt>
                <c:pt idx="32">
                  <c:v>134.41</c:v>
                </c:pt>
                <c:pt idx="33">
                  <c:v>126.66</c:v>
                </c:pt>
                <c:pt idx="34">
                  <c:v>173</c:v>
                </c:pt>
                <c:pt idx="35">
                  <c:v>167.87</c:v>
                </c:pt>
                <c:pt idx="36">
                  <c:v>163.43</c:v>
                </c:pt>
                <c:pt idx="37">
                  <c:v>203.97</c:v>
                </c:pt>
                <c:pt idx="38">
                  <c:v>190.25</c:v>
                </c:pt>
                <c:pt idx="39">
                  <c:v>149.30000000000001</c:v>
                </c:pt>
                <c:pt idx="40">
                  <c:v>167.24</c:v>
                </c:pt>
                <c:pt idx="41">
                  <c:v>190.63</c:v>
                </c:pt>
                <c:pt idx="42">
                  <c:v>178.99</c:v>
                </c:pt>
                <c:pt idx="43">
                  <c:v>170.08</c:v>
                </c:pt>
                <c:pt idx="44">
                  <c:v>211.62</c:v>
                </c:pt>
                <c:pt idx="45">
                  <c:v>172.59</c:v>
                </c:pt>
                <c:pt idx="46">
                  <c:v>170.44</c:v>
                </c:pt>
                <c:pt idx="47">
                  <c:v>202.65</c:v>
                </c:pt>
                <c:pt idx="48">
                  <c:v>216.89</c:v>
                </c:pt>
                <c:pt idx="49">
                  <c:v>195.38</c:v>
                </c:pt>
                <c:pt idx="50">
                  <c:v>209.53</c:v>
                </c:pt>
                <c:pt idx="51">
                  <c:v>201.79</c:v>
                </c:pt>
                <c:pt idx="52">
                  <c:v>222.95</c:v>
                </c:pt>
                <c:pt idx="53">
                  <c:v>196.19</c:v>
                </c:pt>
                <c:pt idx="54">
                  <c:v>206.82</c:v>
                </c:pt>
                <c:pt idx="55">
                  <c:v>198.7</c:v>
                </c:pt>
                <c:pt idx="56">
                  <c:v>177.04</c:v>
                </c:pt>
                <c:pt idx="57">
                  <c:v>175.79</c:v>
                </c:pt>
                <c:pt idx="58">
                  <c:v>144.22999999999999</c:v>
                </c:pt>
                <c:pt idx="59">
                  <c:v>190.79</c:v>
                </c:pt>
                <c:pt idx="60">
                  <c:v>200.88</c:v>
                </c:pt>
                <c:pt idx="61">
                  <c:v>296.8</c:v>
                </c:pt>
                <c:pt idx="62">
                  <c:v>350.9</c:v>
                </c:pt>
                <c:pt idx="63">
                  <c:v>236.62</c:v>
                </c:pt>
                <c:pt idx="64">
                  <c:v>285.51</c:v>
                </c:pt>
                <c:pt idx="65">
                  <c:v>274.75</c:v>
                </c:pt>
                <c:pt idx="66">
                  <c:v>376.9</c:v>
                </c:pt>
                <c:pt idx="67">
                  <c:v>642.34</c:v>
                </c:pt>
                <c:pt idx="68">
                  <c:v>242.26</c:v>
                </c:pt>
                <c:pt idx="69">
                  <c:v>206</c:v>
                </c:pt>
                <c:pt idx="70">
                  <c:v>208.37</c:v>
                </c:pt>
                <c:pt idx="71">
                  <c:v>312.45999999999998</c:v>
                </c:pt>
                <c:pt idx="72">
                  <c:v>321.52999999999997</c:v>
                </c:pt>
                <c:pt idx="73">
                  <c:v>223.33</c:v>
                </c:pt>
                <c:pt idx="74">
                  <c:v>209.82</c:v>
                </c:pt>
                <c:pt idx="75">
                  <c:v>196.26</c:v>
                </c:pt>
                <c:pt idx="76">
                  <c:v>191.25</c:v>
                </c:pt>
                <c:pt idx="77">
                  <c:v>194.78</c:v>
                </c:pt>
                <c:pt idx="78">
                  <c:v>206.3</c:v>
                </c:pt>
                <c:pt idx="79">
                  <c:v>217.57</c:v>
                </c:pt>
                <c:pt idx="80">
                  <c:v>231.31</c:v>
                </c:pt>
                <c:pt idx="81">
                  <c:v>176.57</c:v>
                </c:pt>
                <c:pt idx="82">
                  <c:v>158.41</c:v>
                </c:pt>
                <c:pt idx="83">
                  <c:v>125.14</c:v>
                </c:pt>
                <c:pt idx="84">
                  <c:v>162.37</c:v>
                </c:pt>
                <c:pt idx="85">
                  <c:v>189.28</c:v>
                </c:pt>
                <c:pt idx="86">
                  <c:v>194.43</c:v>
                </c:pt>
                <c:pt idx="87">
                  <c:v>216.46</c:v>
                </c:pt>
                <c:pt idx="88">
                  <c:v>206.25</c:v>
                </c:pt>
                <c:pt idx="89">
                  <c:v>159.75</c:v>
                </c:pt>
                <c:pt idx="90">
                  <c:v>205.78</c:v>
                </c:pt>
                <c:pt idx="91">
                  <c:v>196.8</c:v>
                </c:pt>
                <c:pt idx="92">
                  <c:v>197.55</c:v>
                </c:pt>
                <c:pt idx="93">
                  <c:v>237.13</c:v>
                </c:pt>
                <c:pt idx="94">
                  <c:v>202.1</c:v>
                </c:pt>
                <c:pt idx="95">
                  <c:v>178.2</c:v>
                </c:pt>
                <c:pt idx="96">
                  <c:v>203.26</c:v>
                </c:pt>
                <c:pt idx="97">
                  <c:v>223.16</c:v>
                </c:pt>
                <c:pt idx="98">
                  <c:v>225.61</c:v>
                </c:pt>
                <c:pt idx="99">
                  <c:v>196.1</c:v>
                </c:pt>
                <c:pt idx="100">
                  <c:v>216.37</c:v>
                </c:pt>
                <c:pt idx="101">
                  <c:v>216.31</c:v>
                </c:pt>
                <c:pt idx="102">
                  <c:v>231.43</c:v>
                </c:pt>
                <c:pt idx="103">
                  <c:v>194.17</c:v>
                </c:pt>
                <c:pt idx="104">
                  <c:v>178.59</c:v>
                </c:pt>
                <c:pt idx="105">
                  <c:v>170.75</c:v>
                </c:pt>
                <c:pt idx="106">
                  <c:v>160.38</c:v>
                </c:pt>
                <c:pt idx="107">
                  <c:v>218.26</c:v>
                </c:pt>
                <c:pt idx="108">
                  <c:v>63.62</c:v>
                </c:pt>
                <c:pt idx="109">
                  <c:v>95.52</c:v>
                </c:pt>
                <c:pt idx="110">
                  <c:v>210.52</c:v>
                </c:pt>
                <c:pt idx="111">
                  <c:v>206.02</c:v>
                </c:pt>
                <c:pt idx="112">
                  <c:v>250.84</c:v>
                </c:pt>
                <c:pt idx="113">
                  <c:v>260.60000000000002</c:v>
                </c:pt>
                <c:pt idx="114">
                  <c:v>263.89999999999998</c:v>
                </c:pt>
                <c:pt idx="115">
                  <c:v>288.56</c:v>
                </c:pt>
                <c:pt idx="116">
                  <c:v>295.42</c:v>
                </c:pt>
                <c:pt idx="117">
                  <c:v>288.11</c:v>
                </c:pt>
                <c:pt idx="118">
                  <c:v>293.05</c:v>
                </c:pt>
                <c:pt idx="119">
                  <c:v>231.26</c:v>
                </c:pt>
                <c:pt idx="120">
                  <c:v>153.15</c:v>
                </c:pt>
                <c:pt idx="121">
                  <c:v>177.06</c:v>
                </c:pt>
                <c:pt idx="122">
                  <c:v>178.06</c:v>
                </c:pt>
                <c:pt idx="123">
                  <c:v>215.59</c:v>
                </c:pt>
                <c:pt idx="124">
                  <c:v>198.78</c:v>
                </c:pt>
                <c:pt idx="125">
                  <c:v>207.72</c:v>
                </c:pt>
                <c:pt idx="126">
                  <c:v>205.62</c:v>
                </c:pt>
                <c:pt idx="127">
                  <c:v>203</c:v>
                </c:pt>
                <c:pt idx="128">
                  <c:v>206.28</c:v>
                </c:pt>
                <c:pt idx="129">
                  <c:v>200.3</c:v>
                </c:pt>
                <c:pt idx="130">
                  <c:v>188.58</c:v>
                </c:pt>
                <c:pt idx="131">
                  <c:v>202.58</c:v>
                </c:pt>
                <c:pt idx="132">
                  <c:v>227.4</c:v>
                </c:pt>
                <c:pt idx="133">
                  <c:v>249.89</c:v>
                </c:pt>
                <c:pt idx="134">
                  <c:v>216.24</c:v>
                </c:pt>
                <c:pt idx="135">
                  <c:v>219.52</c:v>
                </c:pt>
                <c:pt idx="136">
                  <c:v>220.31</c:v>
                </c:pt>
                <c:pt idx="137">
                  <c:v>294.42</c:v>
                </c:pt>
                <c:pt idx="138">
                  <c:v>298.43</c:v>
                </c:pt>
                <c:pt idx="139">
                  <c:v>348.3</c:v>
                </c:pt>
                <c:pt idx="140">
                  <c:v>343.22</c:v>
                </c:pt>
                <c:pt idx="141">
                  <c:v>324.22000000000003</c:v>
                </c:pt>
                <c:pt idx="142">
                  <c:v>373.63</c:v>
                </c:pt>
                <c:pt idx="143">
                  <c:v>305.88</c:v>
                </c:pt>
                <c:pt idx="144">
                  <c:v>180.7</c:v>
                </c:pt>
                <c:pt idx="145">
                  <c:v>358.81</c:v>
                </c:pt>
                <c:pt idx="146">
                  <c:v>429.08</c:v>
                </c:pt>
                <c:pt idx="147">
                  <c:v>384.94</c:v>
                </c:pt>
                <c:pt idx="148">
                  <c:v>378.17</c:v>
                </c:pt>
                <c:pt idx="149">
                  <c:v>358.51</c:v>
                </c:pt>
                <c:pt idx="150">
                  <c:v>358.52</c:v>
                </c:pt>
                <c:pt idx="151">
                  <c:v>384.78</c:v>
                </c:pt>
                <c:pt idx="152">
                  <c:v>396.79</c:v>
                </c:pt>
                <c:pt idx="153">
                  <c:v>410.21</c:v>
                </c:pt>
                <c:pt idx="154">
                  <c:v>370.84</c:v>
                </c:pt>
                <c:pt idx="155">
                  <c:v>360.48</c:v>
                </c:pt>
                <c:pt idx="156">
                  <c:v>291.48</c:v>
                </c:pt>
                <c:pt idx="157">
                  <c:v>362.5</c:v>
                </c:pt>
                <c:pt idx="158">
                  <c:v>297.33999999999997</c:v>
                </c:pt>
                <c:pt idx="159">
                  <c:v>288.92</c:v>
                </c:pt>
                <c:pt idx="160">
                  <c:v>249.24</c:v>
                </c:pt>
                <c:pt idx="161">
                  <c:v>255.19</c:v>
                </c:pt>
                <c:pt idx="162">
                  <c:v>202.31</c:v>
                </c:pt>
                <c:pt idx="163">
                  <c:v>163.63999999999999</c:v>
                </c:pt>
                <c:pt idx="164">
                  <c:v>195.89</c:v>
                </c:pt>
                <c:pt idx="165">
                  <c:v>266.92</c:v>
                </c:pt>
                <c:pt idx="166">
                  <c:v>285.70999999999998</c:v>
                </c:pt>
                <c:pt idx="167">
                  <c:v>265.19</c:v>
                </c:pt>
                <c:pt idx="168">
                  <c:v>238.05</c:v>
                </c:pt>
                <c:pt idx="169">
                  <c:v>339.57</c:v>
                </c:pt>
                <c:pt idx="170">
                  <c:v>396.04</c:v>
                </c:pt>
                <c:pt idx="171">
                  <c:v>401.47</c:v>
                </c:pt>
                <c:pt idx="172">
                  <c:v>348.39</c:v>
                </c:pt>
                <c:pt idx="173">
                  <c:v>333.1</c:v>
                </c:pt>
                <c:pt idx="174">
                  <c:v>431.05</c:v>
                </c:pt>
                <c:pt idx="175">
                  <c:v>399.81</c:v>
                </c:pt>
                <c:pt idx="176">
                  <c:v>346.38</c:v>
                </c:pt>
                <c:pt idx="177">
                  <c:v>324.92</c:v>
                </c:pt>
                <c:pt idx="178">
                  <c:v>382.82</c:v>
                </c:pt>
                <c:pt idx="179">
                  <c:v>340.22</c:v>
                </c:pt>
                <c:pt idx="180">
                  <c:v>237.73</c:v>
                </c:pt>
                <c:pt idx="181">
                  <c:v>248.97</c:v>
                </c:pt>
                <c:pt idx="182">
                  <c:v>255</c:v>
                </c:pt>
                <c:pt idx="183">
                  <c:v>327.61</c:v>
                </c:pt>
                <c:pt idx="184">
                  <c:v>301.5</c:v>
                </c:pt>
                <c:pt idx="185">
                  <c:v>229.37</c:v>
                </c:pt>
                <c:pt idx="186">
                  <c:v>307.63</c:v>
                </c:pt>
                <c:pt idx="187">
                  <c:v>410.92</c:v>
                </c:pt>
                <c:pt idx="188">
                  <c:v>352.04</c:v>
                </c:pt>
                <c:pt idx="189">
                  <c:v>339.53</c:v>
                </c:pt>
                <c:pt idx="190">
                  <c:v>314.44</c:v>
                </c:pt>
                <c:pt idx="191">
                  <c:v>372.63</c:v>
                </c:pt>
                <c:pt idx="192">
                  <c:v>437.05</c:v>
                </c:pt>
                <c:pt idx="193">
                  <c:v>336.92</c:v>
                </c:pt>
                <c:pt idx="194">
                  <c:v>290.95999999999998</c:v>
                </c:pt>
                <c:pt idx="195">
                  <c:v>298.52999999999997</c:v>
                </c:pt>
                <c:pt idx="196">
                  <c:v>391.49</c:v>
                </c:pt>
                <c:pt idx="197">
                  <c:v>404.05</c:v>
                </c:pt>
                <c:pt idx="198">
                  <c:v>287.69</c:v>
                </c:pt>
                <c:pt idx="199">
                  <c:v>233.76</c:v>
                </c:pt>
                <c:pt idx="200">
                  <c:v>349.64</c:v>
                </c:pt>
                <c:pt idx="201">
                  <c:v>372.39</c:v>
                </c:pt>
                <c:pt idx="202">
                  <c:v>303.45999999999998</c:v>
                </c:pt>
                <c:pt idx="203">
                  <c:v>355.83</c:v>
                </c:pt>
                <c:pt idx="204">
                  <c:v>292.56</c:v>
                </c:pt>
                <c:pt idx="205">
                  <c:v>335.24</c:v>
                </c:pt>
                <c:pt idx="206">
                  <c:v>364.42</c:v>
                </c:pt>
                <c:pt idx="207">
                  <c:v>315.54000000000002</c:v>
                </c:pt>
                <c:pt idx="208">
                  <c:v>272.20999999999998</c:v>
                </c:pt>
                <c:pt idx="209">
                  <c:v>370.15</c:v>
                </c:pt>
                <c:pt idx="210">
                  <c:v>345.71</c:v>
                </c:pt>
                <c:pt idx="211">
                  <c:v>282.27999999999997</c:v>
                </c:pt>
                <c:pt idx="212">
                  <c:v>219.01</c:v>
                </c:pt>
                <c:pt idx="213">
                  <c:v>211.34</c:v>
                </c:pt>
                <c:pt idx="214">
                  <c:v>166.25</c:v>
                </c:pt>
                <c:pt idx="215">
                  <c:v>328.71</c:v>
                </c:pt>
                <c:pt idx="216">
                  <c:v>306.32</c:v>
                </c:pt>
                <c:pt idx="217">
                  <c:v>358.58</c:v>
                </c:pt>
                <c:pt idx="218">
                  <c:v>307.52</c:v>
                </c:pt>
                <c:pt idx="219">
                  <c:v>284.66000000000003</c:v>
                </c:pt>
                <c:pt idx="220">
                  <c:v>283.44</c:v>
                </c:pt>
                <c:pt idx="221">
                  <c:v>249.9</c:v>
                </c:pt>
                <c:pt idx="222">
                  <c:v>336.18</c:v>
                </c:pt>
                <c:pt idx="223">
                  <c:v>266.12</c:v>
                </c:pt>
                <c:pt idx="224">
                  <c:v>293.35000000000002</c:v>
                </c:pt>
                <c:pt idx="225">
                  <c:v>239.39</c:v>
                </c:pt>
                <c:pt idx="226">
                  <c:v>335.17</c:v>
                </c:pt>
                <c:pt idx="227">
                  <c:v>374.33</c:v>
                </c:pt>
                <c:pt idx="228">
                  <c:v>294.75</c:v>
                </c:pt>
                <c:pt idx="229">
                  <c:v>274.31</c:v>
                </c:pt>
                <c:pt idx="230">
                  <c:v>346.56</c:v>
                </c:pt>
                <c:pt idx="231">
                  <c:v>367.17</c:v>
                </c:pt>
                <c:pt idx="232">
                  <c:v>309.79000000000002</c:v>
                </c:pt>
                <c:pt idx="233">
                  <c:v>281.23</c:v>
                </c:pt>
                <c:pt idx="234">
                  <c:v>259.05</c:v>
                </c:pt>
                <c:pt idx="235">
                  <c:v>395.99</c:v>
                </c:pt>
                <c:pt idx="236">
                  <c:v>248.73</c:v>
                </c:pt>
                <c:pt idx="237">
                  <c:v>194.61</c:v>
                </c:pt>
                <c:pt idx="238">
                  <c:v>196.13</c:v>
                </c:pt>
                <c:pt idx="239">
                  <c:v>259.18</c:v>
                </c:pt>
                <c:pt idx="240">
                  <c:v>302.99</c:v>
                </c:pt>
                <c:pt idx="241">
                  <c:v>277.52999999999997</c:v>
                </c:pt>
                <c:pt idx="242">
                  <c:v>229.1</c:v>
                </c:pt>
                <c:pt idx="243">
                  <c:v>383.6</c:v>
                </c:pt>
                <c:pt idx="244">
                  <c:v>249.76</c:v>
                </c:pt>
                <c:pt idx="245">
                  <c:v>155.94999999999999</c:v>
                </c:pt>
                <c:pt idx="246">
                  <c:v>189.38</c:v>
                </c:pt>
                <c:pt idx="247">
                  <c:v>194.57</c:v>
                </c:pt>
                <c:pt idx="248">
                  <c:v>243.34</c:v>
                </c:pt>
                <c:pt idx="249">
                  <c:v>211.78</c:v>
                </c:pt>
                <c:pt idx="250">
                  <c:v>207.62</c:v>
                </c:pt>
                <c:pt idx="251">
                  <c:v>217.56</c:v>
                </c:pt>
                <c:pt idx="252">
                  <c:v>270.16000000000003</c:v>
                </c:pt>
                <c:pt idx="253">
                  <c:v>293.10000000000002</c:v>
                </c:pt>
                <c:pt idx="254">
                  <c:v>265.38</c:v>
                </c:pt>
                <c:pt idx="255">
                  <c:v>228.95</c:v>
                </c:pt>
                <c:pt idx="256">
                  <c:v>203.96</c:v>
                </c:pt>
                <c:pt idx="257">
                  <c:v>215.06</c:v>
                </c:pt>
                <c:pt idx="258">
                  <c:v>175.43</c:v>
                </c:pt>
                <c:pt idx="259">
                  <c:v>154.37</c:v>
                </c:pt>
                <c:pt idx="260">
                  <c:v>140.1</c:v>
                </c:pt>
                <c:pt idx="261">
                  <c:v>196.56</c:v>
                </c:pt>
                <c:pt idx="262">
                  <c:v>188.41</c:v>
                </c:pt>
                <c:pt idx="263">
                  <c:v>183.3</c:v>
                </c:pt>
                <c:pt idx="264">
                  <c:v>128.94</c:v>
                </c:pt>
                <c:pt idx="265">
                  <c:v>102.62</c:v>
                </c:pt>
                <c:pt idx="266">
                  <c:v>117.31</c:v>
                </c:pt>
                <c:pt idx="267">
                  <c:v>120.25</c:v>
                </c:pt>
                <c:pt idx="268">
                  <c:v>134.33000000000001</c:v>
                </c:pt>
                <c:pt idx="269">
                  <c:v>183.44</c:v>
                </c:pt>
                <c:pt idx="270">
                  <c:v>213.24</c:v>
                </c:pt>
                <c:pt idx="271">
                  <c:v>213.83</c:v>
                </c:pt>
                <c:pt idx="272">
                  <c:v>218.54</c:v>
                </c:pt>
                <c:pt idx="273">
                  <c:v>225.36</c:v>
                </c:pt>
              </c:numCache>
            </c:numRef>
          </c:val>
          <c:extLst>
            <c:ext xmlns:c16="http://schemas.microsoft.com/office/drawing/2014/chart" uri="{C3380CC4-5D6E-409C-BE32-E72D297353CC}">
              <c16:uniqueId val="{00000000-1214-4980-A809-31EDB8CCF3B8}"/>
            </c:ext>
          </c:extLst>
        </c:ser>
        <c:dLbls>
          <c:showLegendKey val="0"/>
          <c:showVal val="0"/>
          <c:showCatName val="0"/>
          <c:showSerName val="0"/>
          <c:showPercent val="0"/>
          <c:showBubbleSize val="0"/>
        </c:dLbls>
        <c:gapWidth val="219"/>
        <c:axId val="-2022691840"/>
        <c:axId val="-2022694560"/>
      </c:barChart>
      <c:lineChart>
        <c:grouping val="standard"/>
        <c:varyColors val="0"/>
        <c:ser>
          <c:idx val="1"/>
          <c:order val="1"/>
          <c:tx>
            <c:strRef>
              <c:f>'Listed&amp;Price'!$I$18</c:f>
              <c:strCache>
                <c:ptCount val="1"/>
                <c:pt idx="0">
                  <c:v>Listed for-sale Price Index(RHS)</c:v>
                </c:pt>
              </c:strCache>
            </c:strRef>
          </c:tx>
          <c:spPr>
            <a:ln w="12700" cap="rnd">
              <a:solidFill>
                <a:srgbClr val="C00000"/>
              </a:solidFill>
              <a:round/>
            </a:ln>
            <a:effectLst/>
          </c:spPr>
          <c:marker>
            <c:symbol val="none"/>
          </c:marker>
          <c:cat>
            <c:numRef>
              <c:f>'Listed&amp;Price'!$A$19:$A$292</c:f>
              <c:numCache>
                <c:formatCode>m/d/yyyy</c:formatCode>
                <c:ptCount val="274"/>
                <c:pt idx="0">
                  <c:v>42008</c:v>
                </c:pt>
                <c:pt idx="1">
                  <c:v>42015</c:v>
                </c:pt>
                <c:pt idx="2">
                  <c:v>42022</c:v>
                </c:pt>
                <c:pt idx="3">
                  <c:v>42029</c:v>
                </c:pt>
                <c:pt idx="4">
                  <c:v>42036</c:v>
                </c:pt>
                <c:pt idx="5">
                  <c:v>42043</c:v>
                </c:pt>
                <c:pt idx="6">
                  <c:v>42050</c:v>
                </c:pt>
                <c:pt idx="7">
                  <c:v>42057</c:v>
                </c:pt>
                <c:pt idx="8">
                  <c:v>42064</c:v>
                </c:pt>
                <c:pt idx="9">
                  <c:v>42071</c:v>
                </c:pt>
                <c:pt idx="10">
                  <c:v>42078</c:v>
                </c:pt>
                <c:pt idx="11">
                  <c:v>42085</c:v>
                </c:pt>
                <c:pt idx="12">
                  <c:v>42092</c:v>
                </c:pt>
                <c:pt idx="13">
                  <c:v>42099</c:v>
                </c:pt>
                <c:pt idx="14">
                  <c:v>42106</c:v>
                </c:pt>
                <c:pt idx="15">
                  <c:v>42113</c:v>
                </c:pt>
                <c:pt idx="16">
                  <c:v>42120</c:v>
                </c:pt>
                <c:pt idx="17">
                  <c:v>42127</c:v>
                </c:pt>
                <c:pt idx="18">
                  <c:v>42134</c:v>
                </c:pt>
                <c:pt idx="19">
                  <c:v>42141</c:v>
                </c:pt>
                <c:pt idx="20">
                  <c:v>42148</c:v>
                </c:pt>
                <c:pt idx="21">
                  <c:v>42155</c:v>
                </c:pt>
                <c:pt idx="22">
                  <c:v>42162</c:v>
                </c:pt>
                <c:pt idx="23">
                  <c:v>42169</c:v>
                </c:pt>
                <c:pt idx="24">
                  <c:v>42176</c:v>
                </c:pt>
                <c:pt idx="25">
                  <c:v>42183</c:v>
                </c:pt>
                <c:pt idx="26">
                  <c:v>42190</c:v>
                </c:pt>
                <c:pt idx="27">
                  <c:v>42197</c:v>
                </c:pt>
                <c:pt idx="28">
                  <c:v>42204</c:v>
                </c:pt>
                <c:pt idx="29">
                  <c:v>42211</c:v>
                </c:pt>
                <c:pt idx="30">
                  <c:v>42218</c:v>
                </c:pt>
                <c:pt idx="31">
                  <c:v>42225</c:v>
                </c:pt>
                <c:pt idx="32">
                  <c:v>42232</c:v>
                </c:pt>
                <c:pt idx="33">
                  <c:v>42239</c:v>
                </c:pt>
                <c:pt idx="34">
                  <c:v>42246</c:v>
                </c:pt>
                <c:pt idx="35">
                  <c:v>42253</c:v>
                </c:pt>
                <c:pt idx="36">
                  <c:v>42260</c:v>
                </c:pt>
                <c:pt idx="37">
                  <c:v>42267</c:v>
                </c:pt>
                <c:pt idx="38">
                  <c:v>42274</c:v>
                </c:pt>
                <c:pt idx="39">
                  <c:v>42281</c:v>
                </c:pt>
                <c:pt idx="40">
                  <c:v>42288</c:v>
                </c:pt>
                <c:pt idx="41">
                  <c:v>42295</c:v>
                </c:pt>
                <c:pt idx="42">
                  <c:v>42302</c:v>
                </c:pt>
                <c:pt idx="43">
                  <c:v>42309</c:v>
                </c:pt>
                <c:pt idx="44">
                  <c:v>42316</c:v>
                </c:pt>
                <c:pt idx="45">
                  <c:v>42323</c:v>
                </c:pt>
                <c:pt idx="46">
                  <c:v>42330</c:v>
                </c:pt>
                <c:pt idx="47">
                  <c:v>42337</c:v>
                </c:pt>
                <c:pt idx="48">
                  <c:v>42344</c:v>
                </c:pt>
                <c:pt idx="49">
                  <c:v>42351</c:v>
                </c:pt>
                <c:pt idx="50">
                  <c:v>42358</c:v>
                </c:pt>
                <c:pt idx="51">
                  <c:v>42365</c:v>
                </c:pt>
                <c:pt idx="52">
                  <c:v>42372</c:v>
                </c:pt>
                <c:pt idx="53">
                  <c:v>42379</c:v>
                </c:pt>
                <c:pt idx="54">
                  <c:v>42386</c:v>
                </c:pt>
                <c:pt idx="55">
                  <c:v>42393</c:v>
                </c:pt>
                <c:pt idx="56">
                  <c:v>42400</c:v>
                </c:pt>
                <c:pt idx="57">
                  <c:v>42407</c:v>
                </c:pt>
                <c:pt idx="58">
                  <c:v>42414</c:v>
                </c:pt>
                <c:pt idx="59">
                  <c:v>42421</c:v>
                </c:pt>
                <c:pt idx="60">
                  <c:v>42428</c:v>
                </c:pt>
                <c:pt idx="61">
                  <c:v>42435</c:v>
                </c:pt>
                <c:pt idx="62">
                  <c:v>42442</c:v>
                </c:pt>
                <c:pt idx="63">
                  <c:v>42449</c:v>
                </c:pt>
                <c:pt idx="64">
                  <c:v>42456</c:v>
                </c:pt>
                <c:pt idx="65">
                  <c:v>42463</c:v>
                </c:pt>
                <c:pt idx="66">
                  <c:v>42470</c:v>
                </c:pt>
                <c:pt idx="67">
                  <c:v>42477</c:v>
                </c:pt>
                <c:pt idx="68">
                  <c:v>42484</c:v>
                </c:pt>
                <c:pt idx="69">
                  <c:v>42491</c:v>
                </c:pt>
                <c:pt idx="70">
                  <c:v>42498</c:v>
                </c:pt>
                <c:pt idx="71">
                  <c:v>42505</c:v>
                </c:pt>
                <c:pt idx="72">
                  <c:v>42512</c:v>
                </c:pt>
                <c:pt idx="73">
                  <c:v>42519</c:v>
                </c:pt>
                <c:pt idx="74">
                  <c:v>42526</c:v>
                </c:pt>
                <c:pt idx="75">
                  <c:v>42533</c:v>
                </c:pt>
                <c:pt idx="76">
                  <c:v>42540</c:v>
                </c:pt>
                <c:pt idx="77">
                  <c:v>42547</c:v>
                </c:pt>
                <c:pt idx="78">
                  <c:v>42554</c:v>
                </c:pt>
                <c:pt idx="79">
                  <c:v>42561</c:v>
                </c:pt>
                <c:pt idx="80">
                  <c:v>42568</c:v>
                </c:pt>
                <c:pt idx="81">
                  <c:v>42575</c:v>
                </c:pt>
                <c:pt idx="82">
                  <c:v>42582</c:v>
                </c:pt>
                <c:pt idx="83">
                  <c:v>42589</c:v>
                </c:pt>
                <c:pt idx="84">
                  <c:v>42596</c:v>
                </c:pt>
                <c:pt idx="85">
                  <c:v>42603</c:v>
                </c:pt>
                <c:pt idx="86">
                  <c:v>42610</c:v>
                </c:pt>
                <c:pt idx="87">
                  <c:v>42617</c:v>
                </c:pt>
                <c:pt idx="88">
                  <c:v>42624</c:v>
                </c:pt>
                <c:pt idx="89">
                  <c:v>42631</c:v>
                </c:pt>
                <c:pt idx="90">
                  <c:v>42638</c:v>
                </c:pt>
                <c:pt idx="91">
                  <c:v>42645</c:v>
                </c:pt>
                <c:pt idx="92">
                  <c:v>42652</c:v>
                </c:pt>
                <c:pt idx="93">
                  <c:v>42659</c:v>
                </c:pt>
                <c:pt idx="94">
                  <c:v>42666</c:v>
                </c:pt>
                <c:pt idx="95">
                  <c:v>42673</c:v>
                </c:pt>
                <c:pt idx="96">
                  <c:v>42680</c:v>
                </c:pt>
                <c:pt idx="97">
                  <c:v>42687</c:v>
                </c:pt>
                <c:pt idx="98">
                  <c:v>42694</c:v>
                </c:pt>
                <c:pt idx="99">
                  <c:v>42701</c:v>
                </c:pt>
                <c:pt idx="100">
                  <c:v>42708</c:v>
                </c:pt>
                <c:pt idx="101">
                  <c:v>42715</c:v>
                </c:pt>
                <c:pt idx="102">
                  <c:v>42722</c:v>
                </c:pt>
                <c:pt idx="103">
                  <c:v>42729</c:v>
                </c:pt>
                <c:pt idx="104">
                  <c:v>42736</c:v>
                </c:pt>
                <c:pt idx="105">
                  <c:v>42743</c:v>
                </c:pt>
                <c:pt idx="106">
                  <c:v>42750</c:v>
                </c:pt>
                <c:pt idx="107">
                  <c:v>42757</c:v>
                </c:pt>
                <c:pt idx="108">
                  <c:v>42764</c:v>
                </c:pt>
                <c:pt idx="109">
                  <c:v>42771</c:v>
                </c:pt>
                <c:pt idx="110">
                  <c:v>42778</c:v>
                </c:pt>
                <c:pt idx="111">
                  <c:v>42785</c:v>
                </c:pt>
                <c:pt idx="112">
                  <c:v>42792</c:v>
                </c:pt>
                <c:pt idx="113">
                  <c:v>42799</c:v>
                </c:pt>
                <c:pt idx="114">
                  <c:v>42806</c:v>
                </c:pt>
                <c:pt idx="115">
                  <c:v>42813</c:v>
                </c:pt>
                <c:pt idx="116">
                  <c:v>42820</c:v>
                </c:pt>
                <c:pt idx="117">
                  <c:v>42827</c:v>
                </c:pt>
                <c:pt idx="118">
                  <c:v>42834</c:v>
                </c:pt>
                <c:pt idx="119">
                  <c:v>42841</c:v>
                </c:pt>
                <c:pt idx="120">
                  <c:v>42848</c:v>
                </c:pt>
                <c:pt idx="121">
                  <c:v>42855</c:v>
                </c:pt>
                <c:pt idx="122">
                  <c:v>42862</c:v>
                </c:pt>
                <c:pt idx="123">
                  <c:v>42869</c:v>
                </c:pt>
                <c:pt idx="124">
                  <c:v>42876</c:v>
                </c:pt>
                <c:pt idx="125">
                  <c:v>42883</c:v>
                </c:pt>
                <c:pt idx="126">
                  <c:v>42890</c:v>
                </c:pt>
                <c:pt idx="127">
                  <c:v>42897</c:v>
                </c:pt>
                <c:pt idx="128">
                  <c:v>42904</c:v>
                </c:pt>
                <c:pt idx="129">
                  <c:v>42911</c:v>
                </c:pt>
                <c:pt idx="130">
                  <c:v>42918</c:v>
                </c:pt>
                <c:pt idx="131">
                  <c:v>42925</c:v>
                </c:pt>
                <c:pt idx="132">
                  <c:v>42932</c:v>
                </c:pt>
                <c:pt idx="133">
                  <c:v>42939</c:v>
                </c:pt>
                <c:pt idx="134">
                  <c:v>42946</c:v>
                </c:pt>
                <c:pt idx="135">
                  <c:v>42953</c:v>
                </c:pt>
                <c:pt idx="136">
                  <c:v>42960</c:v>
                </c:pt>
                <c:pt idx="137">
                  <c:v>42967</c:v>
                </c:pt>
                <c:pt idx="138">
                  <c:v>42974</c:v>
                </c:pt>
                <c:pt idx="139">
                  <c:v>42981</c:v>
                </c:pt>
                <c:pt idx="140">
                  <c:v>42988</c:v>
                </c:pt>
                <c:pt idx="141">
                  <c:v>42995</c:v>
                </c:pt>
                <c:pt idx="142">
                  <c:v>43002</c:v>
                </c:pt>
                <c:pt idx="143">
                  <c:v>43009</c:v>
                </c:pt>
                <c:pt idx="144">
                  <c:v>43016</c:v>
                </c:pt>
                <c:pt idx="145">
                  <c:v>43023</c:v>
                </c:pt>
                <c:pt idx="146">
                  <c:v>43030</c:v>
                </c:pt>
                <c:pt idx="147">
                  <c:v>43037</c:v>
                </c:pt>
                <c:pt idx="148">
                  <c:v>43044</c:v>
                </c:pt>
                <c:pt idx="149">
                  <c:v>43051</c:v>
                </c:pt>
                <c:pt idx="150">
                  <c:v>43058</c:v>
                </c:pt>
                <c:pt idx="151">
                  <c:v>43065</c:v>
                </c:pt>
                <c:pt idx="152">
                  <c:v>43072</c:v>
                </c:pt>
                <c:pt idx="153">
                  <c:v>43079</c:v>
                </c:pt>
                <c:pt idx="154">
                  <c:v>43086</c:v>
                </c:pt>
                <c:pt idx="155">
                  <c:v>43093</c:v>
                </c:pt>
                <c:pt idx="156">
                  <c:v>43100</c:v>
                </c:pt>
                <c:pt idx="157">
                  <c:v>43107</c:v>
                </c:pt>
                <c:pt idx="158">
                  <c:v>43114</c:v>
                </c:pt>
                <c:pt idx="159">
                  <c:v>43121</c:v>
                </c:pt>
                <c:pt idx="160">
                  <c:v>43128</c:v>
                </c:pt>
                <c:pt idx="161">
                  <c:v>43135</c:v>
                </c:pt>
                <c:pt idx="162">
                  <c:v>43142</c:v>
                </c:pt>
                <c:pt idx="163">
                  <c:v>43149</c:v>
                </c:pt>
                <c:pt idx="164">
                  <c:v>43156</c:v>
                </c:pt>
                <c:pt idx="165">
                  <c:v>43163</c:v>
                </c:pt>
                <c:pt idx="166">
                  <c:v>43170</c:v>
                </c:pt>
                <c:pt idx="167">
                  <c:v>43177</c:v>
                </c:pt>
                <c:pt idx="168">
                  <c:v>43184</c:v>
                </c:pt>
                <c:pt idx="169">
                  <c:v>43191</c:v>
                </c:pt>
                <c:pt idx="170">
                  <c:v>43198</c:v>
                </c:pt>
                <c:pt idx="171">
                  <c:v>43205</c:v>
                </c:pt>
                <c:pt idx="172">
                  <c:v>43212</c:v>
                </c:pt>
                <c:pt idx="173">
                  <c:v>43219</c:v>
                </c:pt>
                <c:pt idx="174">
                  <c:v>43226</c:v>
                </c:pt>
                <c:pt idx="175">
                  <c:v>43233</c:v>
                </c:pt>
                <c:pt idx="176">
                  <c:v>43240</c:v>
                </c:pt>
                <c:pt idx="177">
                  <c:v>43247</c:v>
                </c:pt>
                <c:pt idx="178">
                  <c:v>43254</c:v>
                </c:pt>
                <c:pt idx="179">
                  <c:v>43261</c:v>
                </c:pt>
                <c:pt idx="180">
                  <c:v>43268</c:v>
                </c:pt>
                <c:pt idx="181">
                  <c:v>43275</c:v>
                </c:pt>
                <c:pt idx="182">
                  <c:v>43282</c:v>
                </c:pt>
                <c:pt idx="183">
                  <c:v>43289</c:v>
                </c:pt>
                <c:pt idx="184">
                  <c:v>43296</c:v>
                </c:pt>
                <c:pt idx="185">
                  <c:v>43303</c:v>
                </c:pt>
                <c:pt idx="186">
                  <c:v>43310</c:v>
                </c:pt>
                <c:pt idx="187">
                  <c:v>43317</c:v>
                </c:pt>
                <c:pt idx="188">
                  <c:v>43324</c:v>
                </c:pt>
                <c:pt idx="189">
                  <c:v>43331</c:v>
                </c:pt>
                <c:pt idx="190">
                  <c:v>43338</c:v>
                </c:pt>
                <c:pt idx="191">
                  <c:v>43345</c:v>
                </c:pt>
                <c:pt idx="192">
                  <c:v>43352</c:v>
                </c:pt>
                <c:pt idx="193">
                  <c:v>43359</c:v>
                </c:pt>
                <c:pt idx="194">
                  <c:v>43366</c:v>
                </c:pt>
                <c:pt idx="195">
                  <c:v>43373</c:v>
                </c:pt>
                <c:pt idx="196">
                  <c:v>43380</c:v>
                </c:pt>
                <c:pt idx="197">
                  <c:v>43387</c:v>
                </c:pt>
                <c:pt idx="198">
                  <c:v>43394</c:v>
                </c:pt>
                <c:pt idx="199">
                  <c:v>43401</c:v>
                </c:pt>
                <c:pt idx="200">
                  <c:v>43408</c:v>
                </c:pt>
                <c:pt idx="201">
                  <c:v>43415</c:v>
                </c:pt>
                <c:pt idx="202">
                  <c:v>43422</c:v>
                </c:pt>
                <c:pt idx="203">
                  <c:v>43429</c:v>
                </c:pt>
                <c:pt idx="204">
                  <c:v>43436</c:v>
                </c:pt>
                <c:pt idx="205">
                  <c:v>43443</c:v>
                </c:pt>
                <c:pt idx="206">
                  <c:v>43450</c:v>
                </c:pt>
                <c:pt idx="207">
                  <c:v>43457</c:v>
                </c:pt>
                <c:pt idx="208">
                  <c:v>43464</c:v>
                </c:pt>
                <c:pt idx="209">
                  <c:v>43471</c:v>
                </c:pt>
                <c:pt idx="210">
                  <c:v>43478</c:v>
                </c:pt>
                <c:pt idx="211">
                  <c:v>43485</c:v>
                </c:pt>
                <c:pt idx="212">
                  <c:v>43492</c:v>
                </c:pt>
                <c:pt idx="213">
                  <c:v>43499</c:v>
                </c:pt>
                <c:pt idx="214">
                  <c:v>43506</c:v>
                </c:pt>
                <c:pt idx="215">
                  <c:v>43513</c:v>
                </c:pt>
                <c:pt idx="216">
                  <c:v>43520</c:v>
                </c:pt>
                <c:pt idx="217">
                  <c:v>43527</c:v>
                </c:pt>
                <c:pt idx="218">
                  <c:v>43534</c:v>
                </c:pt>
                <c:pt idx="219">
                  <c:v>43541</c:v>
                </c:pt>
                <c:pt idx="220">
                  <c:v>43548</c:v>
                </c:pt>
                <c:pt idx="221">
                  <c:v>43555</c:v>
                </c:pt>
                <c:pt idx="222">
                  <c:v>43562</c:v>
                </c:pt>
                <c:pt idx="223">
                  <c:v>43569</c:v>
                </c:pt>
                <c:pt idx="224">
                  <c:v>43576</c:v>
                </c:pt>
                <c:pt idx="225">
                  <c:v>43583</c:v>
                </c:pt>
                <c:pt idx="226">
                  <c:v>43590</c:v>
                </c:pt>
                <c:pt idx="227">
                  <c:v>43597</c:v>
                </c:pt>
                <c:pt idx="228">
                  <c:v>43604</c:v>
                </c:pt>
                <c:pt idx="229">
                  <c:v>43611</c:v>
                </c:pt>
                <c:pt idx="230">
                  <c:v>43618</c:v>
                </c:pt>
                <c:pt idx="231">
                  <c:v>43625</c:v>
                </c:pt>
                <c:pt idx="232">
                  <c:v>43632</c:v>
                </c:pt>
                <c:pt idx="233">
                  <c:v>43639</c:v>
                </c:pt>
                <c:pt idx="234">
                  <c:v>43646</c:v>
                </c:pt>
                <c:pt idx="235">
                  <c:v>43653</c:v>
                </c:pt>
                <c:pt idx="236">
                  <c:v>43660</c:v>
                </c:pt>
                <c:pt idx="237">
                  <c:v>43667</c:v>
                </c:pt>
                <c:pt idx="238">
                  <c:v>43674</c:v>
                </c:pt>
                <c:pt idx="239">
                  <c:v>43681</c:v>
                </c:pt>
                <c:pt idx="240">
                  <c:v>43688</c:v>
                </c:pt>
                <c:pt idx="241">
                  <c:v>43695</c:v>
                </c:pt>
                <c:pt idx="242">
                  <c:v>43702</c:v>
                </c:pt>
                <c:pt idx="243">
                  <c:v>43709</c:v>
                </c:pt>
                <c:pt idx="244">
                  <c:v>43716</c:v>
                </c:pt>
                <c:pt idx="245">
                  <c:v>43723</c:v>
                </c:pt>
                <c:pt idx="246">
                  <c:v>43730</c:v>
                </c:pt>
                <c:pt idx="247">
                  <c:v>43737</c:v>
                </c:pt>
                <c:pt idx="248">
                  <c:v>43744</c:v>
                </c:pt>
                <c:pt idx="249">
                  <c:v>43751</c:v>
                </c:pt>
                <c:pt idx="250">
                  <c:v>43758</c:v>
                </c:pt>
                <c:pt idx="251">
                  <c:v>43765</c:v>
                </c:pt>
                <c:pt idx="252">
                  <c:v>43772</c:v>
                </c:pt>
                <c:pt idx="253">
                  <c:v>43779</c:v>
                </c:pt>
                <c:pt idx="254">
                  <c:v>43786</c:v>
                </c:pt>
                <c:pt idx="255">
                  <c:v>43793</c:v>
                </c:pt>
                <c:pt idx="256">
                  <c:v>43800</c:v>
                </c:pt>
                <c:pt idx="257">
                  <c:v>43807</c:v>
                </c:pt>
                <c:pt idx="258">
                  <c:v>43814</c:v>
                </c:pt>
                <c:pt idx="259">
                  <c:v>43821</c:v>
                </c:pt>
                <c:pt idx="260">
                  <c:v>43828</c:v>
                </c:pt>
                <c:pt idx="261">
                  <c:v>43835</c:v>
                </c:pt>
                <c:pt idx="262">
                  <c:v>43842</c:v>
                </c:pt>
                <c:pt idx="263">
                  <c:v>43849</c:v>
                </c:pt>
                <c:pt idx="264">
                  <c:v>43856</c:v>
                </c:pt>
                <c:pt idx="265">
                  <c:v>43863</c:v>
                </c:pt>
                <c:pt idx="266">
                  <c:v>43870</c:v>
                </c:pt>
                <c:pt idx="267">
                  <c:v>43877</c:v>
                </c:pt>
                <c:pt idx="268">
                  <c:v>43884</c:v>
                </c:pt>
                <c:pt idx="269">
                  <c:v>43891</c:v>
                </c:pt>
                <c:pt idx="270">
                  <c:v>43898</c:v>
                </c:pt>
                <c:pt idx="271">
                  <c:v>43905</c:v>
                </c:pt>
                <c:pt idx="272">
                  <c:v>43912</c:v>
                </c:pt>
                <c:pt idx="273">
                  <c:v>43919</c:v>
                </c:pt>
              </c:numCache>
            </c:numRef>
          </c:cat>
          <c:val>
            <c:numRef>
              <c:f>'Listed&amp;Price'!$I$19:$I$292</c:f>
              <c:numCache>
                <c:formatCode>General</c:formatCode>
                <c:ptCount val="274"/>
                <c:pt idx="0">
                  <c:v>100</c:v>
                </c:pt>
                <c:pt idx="1">
                  <c:v>101.47</c:v>
                </c:pt>
                <c:pt idx="2">
                  <c:v>100.86</c:v>
                </c:pt>
                <c:pt idx="3">
                  <c:v>100.96</c:v>
                </c:pt>
                <c:pt idx="4">
                  <c:v>101.24</c:v>
                </c:pt>
                <c:pt idx="5">
                  <c:v>101.18</c:v>
                </c:pt>
                <c:pt idx="6">
                  <c:v>101.5</c:v>
                </c:pt>
                <c:pt idx="7">
                  <c:v>103.72</c:v>
                </c:pt>
                <c:pt idx="8">
                  <c:v>101.51</c:v>
                </c:pt>
                <c:pt idx="9">
                  <c:v>101.25</c:v>
                </c:pt>
                <c:pt idx="10">
                  <c:v>101.17</c:v>
                </c:pt>
                <c:pt idx="11">
                  <c:v>102.15</c:v>
                </c:pt>
                <c:pt idx="12">
                  <c:v>102.38</c:v>
                </c:pt>
                <c:pt idx="13">
                  <c:v>102.35</c:v>
                </c:pt>
                <c:pt idx="14">
                  <c:v>102.87</c:v>
                </c:pt>
                <c:pt idx="15">
                  <c:v>103.25</c:v>
                </c:pt>
                <c:pt idx="16">
                  <c:v>102.36</c:v>
                </c:pt>
                <c:pt idx="17">
                  <c:v>103.48</c:v>
                </c:pt>
                <c:pt idx="18">
                  <c:v>102.53</c:v>
                </c:pt>
                <c:pt idx="19">
                  <c:v>102.1</c:v>
                </c:pt>
                <c:pt idx="20">
                  <c:v>101.87</c:v>
                </c:pt>
                <c:pt idx="21">
                  <c:v>101.96</c:v>
                </c:pt>
                <c:pt idx="22">
                  <c:v>102.7</c:v>
                </c:pt>
                <c:pt idx="23">
                  <c:v>102.04</c:v>
                </c:pt>
                <c:pt idx="24">
                  <c:v>101.57</c:v>
                </c:pt>
                <c:pt idx="25">
                  <c:v>101.73</c:v>
                </c:pt>
                <c:pt idx="26">
                  <c:v>101.95</c:v>
                </c:pt>
                <c:pt idx="27">
                  <c:v>102.04</c:v>
                </c:pt>
                <c:pt idx="28">
                  <c:v>101.72</c:v>
                </c:pt>
                <c:pt idx="29">
                  <c:v>101.68</c:v>
                </c:pt>
                <c:pt idx="30">
                  <c:v>103.26</c:v>
                </c:pt>
                <c:pt idx="31">
                  <c:v>102.98</c:v>
                </c:pt>
                <c:pt idx="32">
                  <c:v>102.33</c:v>
                </c:pt>
                <c:pt idx="33">
                  <c:v>102.51</c:v>
                </c:pt>
                <c:pt idx="34">
                  <c:v>103.11</c:v>
                </c:pt>
                <c:pt idx="35">
                  <c:v>103.06</c:v>
                </c:pt>
                <c:pt idx="36">
                  <c:v>102.68</c:v>
                </c:pt>
                <c:pt idx="37">
                  <c:v>103.27</c:v>
                </c:pt>
                <c:pt idx="38">
                  <c:v>103.19</c:v>
                </c:pt>
                <c:pt idx="39">
                  <c:v>102.72</c:v>
                </c:pt>
                <c:pt idx="40">
                  <c:v>103.03</c:v>
                </c:pt>
                <c:pt idx="41">
                  <c:v>103.26</c:v>
                </c:pt>
                <c:pt idx="42">
                  <c:v>103.16</c:v>
                </c:pt>
                <c:pt idx="43">
                  <c:v>102.73</c:v>
                </c:pt>
                <c:pt idx="44">
                  <c:v>103.26</c:v>
                </c:pt>
                <c:pt idx="45">
                  <c:v>103.22</c:v>
                </c:pt>
                <c:pt idx="46">
                  <c:v>102.63</c:v>
                </c:pt>
                <c:pt idx="47">
                  <c:v>103.2</c:v>
                </c:pt>
                <c:pt idx="48">
                  <c:v>103.75</c:v>
                </c:pt>
                <c:pt idx="49">
                  <c:v>103.85</c:v>
                </c:pt>
                <c:pt idx="50">
                  <c:v>103.8</c:v>
                </c:pt>
                <c:pt idx="51">
                  <c:v>103.57</c:v>
                </c:pt>
                <c:pt idx="52">
                  <c:v>103.49</c:v>
                </c:pt>
                <c:pt idx="53">
                  <c:v>103.41</c:v>
                </c:pt>
                <c:pt idx="54">
                  <c:v>103.84</c:v>
                </c:pt>
                <c:pt idx="55">
                  <c:v>104.25</c:v>
                </c:pt>
                <c:pt idx="56">
                  <c:v>104.03</c:v>
                </c:pt>
                <c:pt idx="57">
                  <c:v>104.6</c:v>
                </c:pt>
                <c:pt idx="58">
                  <c:v>104.53</c:v>
                </c:pt>
                <c:pt idx="59">
                  <c:v>104.25</c:v>
                </c:pt>
                <c:pt idx="60">
                  <c:v>104.48</c:v>
                </c:pt>
                <c:pt idx="61">
                  <c:v>104.96</c:v>
                </c:pt>
                <c:pt idx="62">
                  <c:v>106.12</c:v>
                </c:pt>
                <c:pt idx="63">
                  <c:v>105.42</c:v>
                </c:pt>
                <c:pt idx="64">
                  <c:v>106.16</c:v>
                </c:pt>
                <c:pt idx="65">
                  <c:v>106.38</c:v>
                </c:pt>
                <c:pt idx="66">
                  <c:v>106.92</c:v>
                </c:pt>
                <c:pt idx="67">
                  <c:v>107.34</c:v>
                </c:pt>
                <c:pt idx="68">
                  <c:v>107.03</c:v>
                </c:pt>
                <c:pt idx="69">
                  <c:v>107.29</c:v>
                </c:pt>
                <c:pt idx="70">
                  <c:v>107.06</c:v>
                </c:pt>
                <c:pt idx="71">
                  <c:v>107.51</c:v>
                </c:pt>
                <c:pt idx="72">
                  <c:v>107.14</c:v>
                </c:pt>
                <c:pt idx="73">
                  <c:v>107.6</c:v>
                </c:pt>
                <c:pt idx="74">
                  <c:v>108.82</c:v>
                </c:pt>
                <c:pt idx="75">
                  <c:v>108.8</c:v>
                </c:pt>
                <c:pt idx="76">
                  <c:v>109.19</c:v>
                </c:pt>
                <c:pt idx="77">
                  <c:v>109.39</c:v>
                </c:pt>
                <c:pt idx="78">
                  <c:v>109.76</c:v>
                </c:pt>
                <c:pt idx="79">
                  <c:v>110.04</c:v>
                </c:pt>
                <c:pt idx="80">
                  <c:v>110.34</c:v>
                </c:pt>
                <c:pt idx="81">
                  <c:v>110.58</c:v>
                </c:pt>
                <c:pt idx="82">
                  <c:v>109.57</c:v>
                </c:pt>
                <c:pt idx="83">
                  <c:v>109.42</c:v>
                </c:pt>
                <c:pt idx="84">
                  <c:v>109.83</c:v>
                </c:pt>
                <c:pt idx="85">
                  <c:v>109.69</c:v>
                </c:pt>
                <c:pt idx="86">
                  <c:v>110.17</c:v>
                </c:pt>
                <c:pt idx="87">
                  <c:v>110.91</c:v>
                </c:pt>
                <c:pt idx="88">
                  <c:v>111.6</c:v>
                </c:pt>
                <c:pt idx="89">
                  <c:v>112.91</c:v>
                </c:pt>
                <c:pt idx="90">
                  <c:v>113.06</c:v>
                </c:pt>
                <c:pt idx="91">
                  <c:v>114.05</c:v>
                </c:pt>
                <c:pt idx="92">
                  <c:v>114.41</c:v>
                </c:pt>
                <c:pt idx="93">
                  <c:v>114.34</c:v>
                </c:pt>
                <c:pt idx="94">
                  <c:v>115.48</c:v>
                </c:pt>
                <c:pt idx="95">
                  <c:v>116.11</c:v>
                </c:pt>
                <c:pt idx="96">
                  <c:v>115.97</c:v>
                </c:pt>
                <c:pt idx="97">
                  <c:v>115.76</c:v>
                </c:pt>
                <c:pt idx="98">
                  <c:v>116.25</c:v>
                </c:pt>
                <c:pt idx="99">
                  <c:v>116.06</c:v>
                </c:pt>
                <c:pt idx="100">
                  <c:v>116.36</c:v>
                </c:pt>
                <c:pt idx="101">
                  <c:v>116.26</c:v>
                </c:pt>
                <c:pt idx="102">
                  <c:v>116.28</c:v>
                </c:pt>
                <c:pt idx="103">
                  <c:v>116.56</c:v>
                </c:pt>
                <c:pt idx="104">
                  <c:v>116.94</c:v>
                </c:pt>
                <c:pt idx="105">
                  <c:v>116.92</c:v>
                </c:pt>
                <c:pt idx="106">
                  <c:v>117.06</c:v>
                </c:pt>
                <c:pt idx="107">
                  <c:v>116.95</c:v>
                </c:pt>
                <c:pt idx="108">
                  <c:v>117.39</c:v>
                </c:pt>
                <c:pt idx="109">
                  <c:v>116.16</c:v>
                </c:pt>
                <c:pt idx="110">
                  <c:v>117.52</c:v>
                </c:pt>
                <c:pt idx="111">
                  <c:v>119.34</c:v>
                </c:pt>
                <c:pt idx="112">
                  <c:v>120.49</c:v>
                </c:pt>
                <c:pt idx="113">
                  <c:v>121.29</c:v>
                </c:pt>
                <c:pt idx="114">
                  <c:v>122.22</c:v>
                </c:pt>
                <c:pt idx="115">
                  <c:v>123.13</c:v>
                </c:pt>
                <c:pt idx="116">
                  <c:v>124.33</c:v>
                </c:pt>
                <c:pt idx="117">
                  <c:v>125.28</c:v>
                </c:pt>
                <c:pt idx="118">
                  <c:v>125.73</c:v>
                </c:pt>
                <c:pt idx="119">
                  <c:v>127.34</c:v>
                </c:pt>
                <c:pt idx="120">
                  <c:v>130.76</c:v>
                </c:pt>
                <c:pt idx="121">
                  <c:v>130.22</c:v>
                </c:pt>
                <c:pt idx="122">
                  <c:v>131.06</c:v>
                </c:pt>
                <c:pt idx="123">
                  <c:v>131.96</c:v>
                </c:pt>
                <c:pt idx="124">
                  <c:v>132.58000000000001</c:v>
                </c:pt>
                <c:pt idx="125">
                  <c:v>134.30000000000001</c:v>
                </c:pt>
                <c:pt idx="126">
                  <c:v>134.38</c:v>
                </c:pt>
                <c:pt idx="127">
                  <c:v>135.38</c:v>
                </c:pt>
                <c:pt idx="128">
                  <c:v>135.36000000000001</c:v>
                </c:pt>
                <c:pt idx="129">
                  <c:v>136.62</c:v>
                </c:pt>
                <c:pt idx="130">
                  <c:v>136.27000000000001</c:v>
                </c:pt>
                <c:pt idx="131">
                  <c:v>136.87</c:v>
                </c:pt>
                <c:pt idx="132">
                  <c:v>136.19999999999999</c:v>
                </c:pt>
                <c:pt idx="133">
                  <c:v>135.80000000000001</c:v>
                </c:pt>
                <c:pt idx="134">
                  <c:v>136.97</c:v>
                </c:pt>
                <c:pt idx="135">
                  <c:v>137.88999999999999</c:v>
                </c:pt>
                <c:pt idx="136">
                  <c:v>137.88999999999999</c:v>
                </c:pt>
                <c:pt idx="137">
                  <c:v>136.41999999999999</c:v>
                </c:pt>
                <c:pt idx="138">
                  <c:v>136.99</c:v>
                </c:pt>
                <c:pt idx="139">
                  <c:v>137.12</c:v>
                </c:pt>
                <c:pt idx="140">
                  <c:v>137.94</c:v>
                </c:pt>
                <c:pt idx="141">
                  <c:v>138.71</c:v>
                </c:pt>
                <c:pt idx="142">
                  <c:v>138.18</c:v>
                </c:pt>
                <c:pt idx="143">
                  <c:v>139.36000000000001</c:v>
                </c:pt>
                <c:pt idx="144">
                  <c:v>140.08000000000001</c:v>
                </c:pt>
                <c:pt idx="145">
                  <c:v>139.51</c:v>
                </c:pt>
                <c:pt idx="146">
                  <c:v>139.29</c:v>
                </c:pt>
                <c:pt idx="147">
                  <c:v>140.22</c:v>
                </c:pt>
                <c:pt idx="148">
                  <c:v>141.19999999999999</c:v>
                </c:pt>
                <c:pt idx="149">
                  <c:v>141.72</c:v>
                </c:pt>
                <c:pt idx="150">
                  <c:v>142.19</c:v>
                </c:pt>
                <c:pt idx="151">
                  <c:v>141.53</c:v>
                </c:pt>
                <c:pt idx="152">
                  <c:v>142.91</c:v>
                </c:pt>
                <c:pt idx="153">
                  <c:v>143.18</c:v>
                </c:pt>
                <c:pt idx="154">
                  <c:v>143.25</c:v>
                </c:pt>
                <c:pt idx="155">
                  <c:v>144.56</c:v>
                </c:pt>
                <c:pt idx="156">
                  <c:v>145.4</c:v>
                </c:pt>
                <c:pt idx="157">
                  <c:v>144.94</c:v>
                </c:pt>
                <c:pt idx="158">
                  <c:v>144.85</c:v>
                </c:pt>
                <c:pt idx="159">
                  <c:v>144.97999999999999</c:v>
                </c:pt>
                <c:pt idx="160">
                  <c:v>145.68</c:v>
                </c:pt>
                <c:pt idx="161">
                  <c:v>145.88999999999999</c:v>
                </c:pt>
                <c:pt idx="162">
                  <c:v>145.81</c:v>
                </c:pt>
                <c:pt idx="163">
                  <c:v>145.09</c:v>
                </c:pt>
                <c:pt idx="164">
                  <c:v>145.82</c:v>
                </c:pt>
                <c:pt idx="165">
                  <c:v>147.54</c:v>
                </c:pt>
                <c:pt idx="166">
                  <c:v>148.4</c:v>
                </c:pt>
                <c:pt idx="167">
                  <c:v>148.94</c:v>
                </c:pt>
                <c:pt idx="168">
                  <c:v>150.18</c:v>
                </c:pt>
                <c:pt idx="169">
                  <c:v>151.74</c:v>
                </c:pt>
                <c:pt idx="170">
                  <c:v>151.55000000000001</c:v>
                </c:pt>
                <c:pt idx="171">
                  <c:v>152.53</c:v>
                </c:pt>
                <c:pt idx="172">
                  <c:v>152.93</c:v>
                </c:pt>
                <c:pt idx="173">
                  <c:v>153.74</c:v>
                </c:pt>
                <c:pt idx="174">
                  <c:v>154.11000000000001</c:v>
                </c:pt>
                <c:pt idx="175">
                  <c:v>155.18</c:v>
                </c:pt>
                <c:pt idx="176">
                  <c:v>155.96</c:v>
                </c:pt>
                <c:pt idx="177">
                  <c:v>156.55000000000001</c:v>
                </c:pt>
                <c:pt idx="178">
                  <c:v>156.87</c:v>
                </c:pt>
                <c:pt idx="179">
                  <c:v>156.44</c:v>
                </c:pt>
                <c:pt idx="180">
                  <c:v>158.47999999999999</c:v>
                </c:pt>
                <c:pt idx="181">
                  <c:v>158.69</c:v>
                </c:pt>
                <c:pt idx="182">
                  <c:v>160.63</c:v>
                </c:pt>
                <c:pt idx="183">
                  <c:v>160.85</c:v>
                </c:pt>
                <c:pt idx="184">
                  <c:v>161.62</c:v>
                </c:pt>
                <c:pt idx="185">
                  <c:v>162.30000000000001</c:v>
                </c:pt>
                <c:pt idx="186">
                  <c:v>162.04</c:v>
                </c:pt>
                <c:pt idx="187">
                  <c:v>162.52000000000001</c:v>
                </c:pt>
                <c:pt idx="188">
                  <c:v>162.88</c:v>
                </c:pt>
                <c:pt idx="189">
                  <c:v>163.74</c:v>
                </c:pt>
                <c:pt idx="190">
                  <c:v>163.95</c:v>
                </c:pt>
                <c:pt idx="191">
                  <c:v>164.72</c:v>
                </c:pt>
                <c:pt idx="192">
                  <c:v>165.28</c:v>
                </c:pt>
                <c:pt idx="193">
                  <c:v>164.6</c:v>
                </c:pt>
                <c:pt idx="194">
                  <c:v>164.86</c:v>
                </c:pt>
                <c:pt idx="195">
                  <c:v>165.74</c:v>
                </c:pt>
                <c:pt idx="196">
                  <c:v>166.16</c:v>
                </c:pt>
                <c:pt idx="197">
                  <c:v>165.55</c:v>
                </c:pt>
                <c:pt idx="198">
                  <c:v>165.62</c:v>
                </c:pt>
                <c:pt idx="199">
                  <c:v>165.24</c:v>
                </c:pt>
                <c:pt idx="200">
                  <c:v>165.15</c:v>
                </c:pt>
                <c:pt idx="201">
                  <c:v>164.83</c:v>
                </c:pt>
                <c:pt idx="202">
                  <c:v>164.61</c:v>
                </c:pt>
                <c:pt idx="203">
                  <c:v>164.62</c:v>
                </c:pt>
                <c:pt idx="204">
                  <c:v>165.18</c:v>
                </c:pt>
                <c:pt idx="205">
                  <c:v>165.06</c:v>
                </c:pt>
                <c:pt idx="206">
                  <c:v>164.51</c:v>
                </c:pt>
                <c:pt idx="207">
                  <c:v>163.99</c:v>
                </c:pt>
                <c:pt idx="208">
                  <c:v>163.54</c:v>
                </c:pt>
                <c:pt idx="209">
                  <c:v>164.16</c:v>
                </c:pt>
                <c:pt idx="210">
                  <c:v>163.72999999999999</c:v>
                </c:pt>
                <c:pt idx="211">
                  <c:v>163.62</c:v>
                </c:pt>
                <c:pt idx="212">
                  <c:v>163.84</c:v>
                </c:pt>
                <c:pt idx="213">
                  <c:v>165.06</c:v>
                </c:pt>
                <c:pt idx="214">
                  <c:v>163.94</c:v>
                </c:pt>
                <c:pt idx="215">
                  <c:v>164.86</c:v>
                </c:pt>
                <c:pt idx="216">
                  <c:v>165.32</c:v>
                </c:pt>
                <c:pt idx="217">
                  <c:v>165.38</c:v>
                </c:pt>
                <c:pt idx="218">
                  <c:v>165.71</c:v>
                </c:pt>
                <c:pt idx="219">
                  <c:v>166.06</c:v>
                </c:pt>
                <c:pt idx="220">
                  <c:v>166.16</c:v>
                </c:pt>
                <c:pt idx="221">
                  <c:v>166.36</c:v>
                </c:pt>
                <c:pt idx="222">
                  <c:v>166.53</c:v>
                </c:pt>
                <c:pt idx="223">
                  <c:v>167.16</c:v>
                </c:pt>
                <c:pt idx="224">
                  <c:v>166.84</c:v>
                </c:pt>
                <c:pt idx="225">
                  <c:v>167.04</c:v>
                </c:pt>
                <c:pt idx="226">
                  <c:v>167.02</c:v>
                </c:pt>
                <c:pt idx="227">
                  <c:v>167.03</c:v>
                </c:pt>
                <c:pt idx="228">
                  <c:v>164.83</c:v>
                </c:pt>
                <c:pt idx="229">
                  <c:v>164.88</c:v>
                </c:pt>
                <c:pt idx="230">
                  <c:v>165.54</c:v>
                </c:pt>
                <c:pt idx="231">
                  <c:v>165.57</c:v>
                </c:pt>
                <c:pt idx="232">
                  <c:v>165.67</c:v>
                </c:pt>
                <c:pt idx="233">
                  <c:v>165.67</c:v>
                </c:pt>
                <c:pt idx="234">
                  <c:v>165.79</c:v>
                </c:pt>
                <c:pt idx="235">
                  <c:v>165.9</c:v>
                </c:pt>
                <c:pt idx="236">
                  <c:v>166.21</c:v>
                </c:pt>
                <c:pt idx="237">
                  <c:v>166.87</c:v>
                </c:pt>
                <c:pt idx="238">
                  <c:v>166.8</c:v>
                </c:pt>
                <c:pt idx="239">
                  <c:v>166.82</c:v>
                </c:pt>
                <c:pt idx="240">
                  <c:v>166.52</c:v>
                </c:pt>
                <c:pt idx="241">
                  <c:v>166.86</c:v>
                </c:pt>
                <c:pt idx="242">
                  <c:v>167.08</c:v>
                </c:pt>
                <c:pt idx="243">
                  <c:v>167.67</c:v>
                </c:pt>
                <c:pt idx="244">
                  <c:v>167.74</c:v>
                </c:pt>
                <c:pt idx="245">
                  <c:v>167.88</c:v>
                </c:pt>
                <c:pt idx="246">
                  <c:v>167.81</c:v>
                </c:pt>
                <c:pt idx="247">
                  <c:v>167.63</c:v>
                </c:pt>
                <c:pt idx="248">
                  <c:v>167.54</c:v>
                </c:pt>
                <c:pt idx="249">
                  <c:v>167.53</c:v>
                </c:pt>
                <c:pt idx="250">
                  <c:v>167.55</c:v>
                </c:pt>
                <c:pt idx="251">
                  <c:v>167.42</c:v>
                </c:pt>
                <c:pt idx="252">
                  <c:v>167.3</c:v>
                </c:pt>
                <c:pt idx="253">
                  <c:v>167.6</c:v>
                </c:pt>
                <c:pt idx="254">
                  <c:v>167.57</c:v>
                </c:pt>
                <c:pt idx="255">
                  <c:v>167.31</c:v>
                </c:pt>
                <c:pt idx="256">
                  <c:v>167.4</c:v>
                </c:pt>
                <c:pt idx="257">
                  <c:v>167.89</c:v>
                </c:pt>
                <c:pt idx="258">
                  <c:v>167.9</c:v>
                </c:pt>
                <c:pt idx="259">
                  <c:v>167.91</c:v>
                </c:pt>
                <c:pt idx="260">
                  <c:v>167.9</c:v>
                </c:pt>
                <c:pt idx="261">
                  <c:v>168.14</c:v>
                </c:pt>
                <c:pt idx="262">
                  <c:v>168.16</c:v>
                </c:pt>
                <c:pt idx="263">
                  <c:v>168.39</c:v>
                </c:pt>
                <c:pt idx="264">
                  <c:v>168.32</c:v>
                </c:pt>
                <c:pt idx="265">
                  <c:v>168.29</c:v>
                </c:pt>
                <c:pt idx="266">
                  <c:v>168.4</c:v>
                </c:pt>
                <c:pt idx="267">
                  <c:v>168.45</c:v>
                </c:pt>
                <c:pt idx="268">
                  <c:v>168.53</c:v>
                </c:pt>
                <c:pt idx="269">
                  <c:v>168.52</c:v>
                </c:pt>
                <c:pt idx="270">
                  <c:v>168.8</c:v>
                </c:pt>
                <c:pt idx="271">
                  <c:v>168.78</c:v>
                </c:pt>
                <c:pt idx="272">
                  <c:v>168.82</c:v>
                </c:pt>
                <c:pt idx="273">
                  <c:v>168.91</c:v>
                </c:pt>
              </c:numCache>
            </c:numRef>
          </c:val>
          <c:smooth val="1"/>
          <c:extLst>
            <c:ext xmlns:c16="http://schemas.microsoft.com/office/drawing/2014/chart" uri="{C3380CC4-5D6E-409C-BE32-E72D297353CC}">
              <c16:uniqueId val="{00000001-1214-4980-A809-31EDB8CCF3B8}"/>
            </c:ext>
          </c:extLst>
        </c:ser>
        <c:dLbls>
          <c:showLegendKey val="0"/>
          <c:showVal val="0"/>
          <c:showCatName val="0"/>
          <c:showSerName val="0"/>
          <c:showPercent val="0"/>
          <c:showBubbleSize val="0"/>
        </c:dLbls>
        <c:marker val="1"/>
        <c:smooth val="0"/>
        <c:axId val="-2022698368"/>
        <c:axId val="-2022684768"/>
      </c:lineChart>
      <c:dateAx>
        <c:axId val="-2022691840"/>
        <c:scaling>
          <c:orientation val="minMax"/>
        </c:scaling>
        <c:delete val="0"/>
        <c:axPos val="b"/>
        <c:numFmt formatCode="yyyy/mm"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94560"/>
        <c:crosses val="autoZero"/>
        <c:auto val="1"/>
        <c:lblOffset val="100"/>
        <c:baseTimeUnit val="days"/>
      </c:dateAx>
      <c:valAx>
        <c:axId val="-2022694560"/>
        <c:scaling>
          <c:orientation val="minMax"/>
        </c:scaling>
        <c:delete val="0"/>
        <c:axPos val="l"/>
        <c:numFmt formatCode="General" sourceLinked="1"/>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91840"/>
        <c:crosses val="autoZero"/>
        <c:crossBetween val="between"/>
      </c:valAx>
      <c:valAx>
        <c:axId val="-2022684768"/>
        <c:scaling>
          <c:orientation val="minMax"/>
        </c:scaling>
        <c:delete val="0"/>
        <c:axPos val="r"/>
        <c:numFmt formatCode="General" sourceLinked="1"/>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98368"/>
        <c:crosses val="max"/>
        <c:crossBetween val="between"/>
      </c:valAx>
      <c:dateAx>
        <c:axId val="-2022698368"/>
        <c:scaling>
          <c:orientation val="minMax"/>
        </c:scaling>
        <c:delete val="1"/>
        <c:axPos val="b"/>
        <c:numFmt formatCode="m/d/yyyy" sourceLinked="1"/>
        <c:majorTickMark val="out"/>
        <c:minorTickMark val="none"/>
        <c:tickLblPos val="nextTo"/>
        <c:crossAx val="-2022684768"/>
        <c:crosses val="autoZero"/>
        <c:auto val="1"/>
        <c:lblOffset val="100"/>
        <c:baseTimeUnit val="days"/>
      </c:dateAx>
      <c:spPr>
        <a:noFill/>
        <a:ln w="25400">
          <a:noFill/>
        </a:ln>
        <a:effectLst/>
      </c:spPr>
    </c:plotArea>
    <c:legend>
      <c:legendPos val="b"/>
      <c:layout>
        <c:manualLayout>
          <c:xMode val="edge"/>
          <c:yMode val="edge"/>
          <c:x val="0.23310176318050332"/>
          <c:y val="1.4793605344786448E-3"/>
          <c:w val="0.6819443065112355"/>
          <c:h val="0.18568641486659088"/>
        </c:manualLayout>
      </c:layout>
      <c:overlay val="0"/>
      <c:spPr>
        <a:noFill/>
        <a:ln w="25400">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legend>
    <c:plotVisOnly val="1"/>
    <c:dispBlanksAs val="gap"/>
    <c:showDLblsOverMax val="0"/>
  </c:chart>
  <c:spPr>
    <a:solidFill>
      <a:srgbClr val="FFFFFF"/>
    </a:solidFill>
    <a:ln w="25400" cap="flat" cmpd="sng" algn="ctr">
      <a:noFill/>
      <a:round/>
    </a:ln>
    <a:effectLst/>
  </c:spPr>
  <c:txPr>
    <a:bodyPr/>
    <a:lstStyle/>
    <a:p>
      <a:pPr>
        <a:defRPr sz="800" baseline="0">
          <a:solidFill>
            <a:schemeClr val="tx1"/>
          </a:solidFill>
          <a:latin typeface="Times New Roman" panose="02020603050405020304" pitchFamily="18" charset="0"/>
          <a:ea typeface="楷体" panose="02010609060101010101" pitchFamily="49" charset="-122"/>
          <a:cs typeface="华文细黑"/>
        </a:defRPr>
      </a:pPr>
      <a:endParaRPr lang="zh-C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651635887856362E-2"/>
          <c:y val="6.1865903125745643E-2"/>
          <c:w val="0.8998582834803307"/>
          <c:h val="0.82181088326526031"/>
        </c:manualLayout>
      </c:layout>
      <c:barChart>
        <c:barDir val="col"/>
        <c:grouping val="clustered"/>
        <c:varyColors val="0"/>
        <c:ser>
          <c:idx val="0"/>
          <c:order val="0"/>
          <c:tx>
            <c:strRef>
              <c:f>'Listed&amp;Price'!$J$18</c:f>
              <c:strCache>
                <c:ptCount val="1"/>
                <c:pt idx="0">
                  <c:v>2nd House Listed for-sale Amount Index</c:v>
                </c:pt>
              </c:strCache>
            </c:strRef>
          </c:tx>
          <c:spPr>
            <a:solidFill>
              <a:schemeClr val="bg1">
                <a:lumMod val="85000"/>
              </a:schemeClr>
            </a:solidFill>
            <a:ln>
              <a:solidFill>
                <a:schemeClr val="bg1">
                  <a:lumMod val="85000"/>
                </a:schemeClr>
              </a:solidFill>
            </a:ln>
            <a:effectLst/>
          </c:spPr>
          <c:invertIfNegative val="0"/>
          <c:cat>
            <c:numRef>
              <c:f>'Listed&amp;Price'!$A$19:$A$292</c:f>
              <c:numCache>
                <c:formatCode>m/d/yyyy</c:formatCode>
                <c:ptCount val="274"/>
                <c:pt idx="0">
                  <c:v>42008</c:v>
                </c:pt>
                <c:pt idx="1">
                  <c:v>42015</c:v>
                </c:pt>
                <c:pt idx="2">
                  <c:v>42022</c:v>
                </c:pt>
                <c:pt idx="3">
                  <c:v>42029</c:v>
                </c:pt>
                <c:pt idx="4">
                  <c:v>42036</c:v>
                </c:pt>
                <c:pt idx="5">
                  <c:v>42043</c:v>
                </c:pt>
                <c:pt idx="6">
                  <c:v>42050</c:v>
                </c:pt>
                <c:pt idx="7">
                  <c:v>42057</c:v>
                </c:pt>
                <c:pt idx="8">
                  <c:v>42064</c:v>
                </c:pt>
                <c:pt idx="9">
                  <c:v>42071</c:v>
                </c:pt>
                <c:pt idx="10">
                  <c:v>42078</c:v>
                </c:pt>
                <c:pt idx="11">
                  <c:v>42085</c:v>
                </c:pt>
                <c:pt idx="12">
                  <c:v>42092</c:v>
                </c:pt>
                <c:pt idx="13">
                  <c:v>42099</c:v>
                </c:pt>
                <c:pt idx="14">
                  <c:v>42106</c:v>
                </c:pt>
                <c:pt idx="15">
                  <c:v>42113</c:v>
                </c:pt>
                <c:pt idx="16">
                  <c:v>42120</c:v>
                </c:pt>
                <c:pt idx="17">
                  <c:v>42127</c:v>
                </c:pt>
                <c:pt idx="18">
                  <c:v>42134</c:v>
                </c:pt>
                <c:pt idx="19">
                  <c:v>42141</c:v>
                </c:pt>
                <c:pt idx="20">
                  <c:v>42148</c:v>
                </c:pt>
                <c:pt idx="21">
                  <c:v>42155</c:v>
                </c:pt>
                <c:pt idx="22">
                  <c:v>42162</c:v>
                </c:pt>
                <c:pt idx="23">
                  <c:v>42169</c:v>
                </c:pt>
                <c:pt idx="24">
                  <c:v>42176</c:v>
                </c:pt>
                <c:pt idx="25">
                  <c:v>42183</c:v>
                </c:pt>
                <c:pt idx="26">
                  <c:v>42190</c:v>
                </c:pt>
                <c:pt idx="27">
                  <c:v>42197</c:v>
                </c:pt>
                <c:pt idx="28">
                  <c:v>42204</c:v>
                </c:pt>
                <c:pt idx="29">
                  <c:v>42211</c:v>
                </c:pt>
                <c:pt idx="30">
                  <c:v>42218</c:v>
                </c:pt>
                <c:pt idx="31">
                  <c:v>42225</c:v>
                </c:pt>
                <c:pt idx="32">
                  <c:v>42232</c:v>
                </c:pt>
                <c:pt idx="33">
                  <c:v>42239</c:v>
                </c:pt>
                <c:pt idx="34">
                  <c:v>42246</c:v>
                </c:pt>
                <c:pt idx="35">
                  <c:v>42253</c:v>
                </c:pt>
                <c:pt idx="36">
                  <c:v>42260</c:v>
                </c:pt>
                <c:pt idx="37">
                  <c:v>42267</c:v>
                </c:pt>
                <c:pt idx="38">
                  <c:v>42274</c:v>
                </c:pt>
                <c:pt idx="39">
                  <c:v>42281</c:v>
                </c:pt>
                <c:pt idx="40">
                  <c:v>42288</c:v>
                </c:pt>
                <c:pt idx="41">
                  <c:v>42295</c:v>
                </c:pt>
                <c:pt idx="42">
                  <c:v>42302</c:v>
                </c:pt>
                <c:pt idx="43">
                  <c:v>42309</c:v>
                </c:pt>
                <c:pt idx="44">
                  <c:v>42316</c:v>
                </c:pt>
                <c:pt idx="45">
                  <c:v>42323</c:v>
                </c:pt>
                <c:pt idx="46">
                  <c:v>42330</c:v>
                </c:pt>
                <c:pt idx="47">
                  <c:v>42337</c:v>
                </c:pt>
                <c:pt idx="48">
                  <c:v>42344</c:v>
                </c:pt>
                <c:pt idx="49">
                  <c:v>42351</c:v>
                </c:pt>
                <c:pt idx="50">
                  <c:v>42358</c:v>
                </c:pt>
                <c:pt idx="51">
                  <c:v>42365</c:v>
                </c:pt>
                <c:pt idx="52">
                  <c:v>42372</c:v>
                </c:pt>
                <c:pt idx="53">
                  <c:v>42379</c:v>
                </c:pt>
                <c:pt idx="54">
                  <c:v>42386</c:v>
                </c:pt>
                <c:pt idx="55">
                  <c:v>42393</c:v>
                </c:pt>
                <c:pt idx="56">
                  <c:v>42400</c:v>
                </c:pt>
                <c:pt idx="57">
                  <c:v>42407</c:v>
                </c:pt>
                <c:pt idx="58">
                  <c:v>42414</c:v>
                </c:pt>
                <c:pt idx="59">
                  <c:v>42421</c:v>
                </c:pt>
                <c:pt idx="60">
                  <c:v>42428</c:v>
                </c:pt>
                <c:pt idx="61">
                  <c:v>42435</c:v>
                </c:pt>
                <c:pt idx="62">
                  <c:v>42442</c:v>
                </c:pt>
                <c:pt idx="63">
                  <c:v>42449</c:v>
                </c:pt>
                <c:pt idx="64">
                  <c:v>42456</c:v>
                </c:pt>
                <c:pt idx="65">
                  <c:v>42463</c:v>
                </c:pt>
                <c:pt idx="66">
                  <c:v>42470</c:v>
                </c:pt>
                <c:pt idx="67">
                  <c:v>42477</c:v>
                </c:pt>
                <c:pt idx="68">
                  <c:v>42484</c:v>
                </c:pt>
                <c:pt idx="69">
                  <c:v>42491</c:v>
                </c:pt>
                <c:pt idx="70">
                  <c:v>42498</c:v>
                </c:pt>
                <c:pt idx="71">
                  <c:v>42505</c:v>
                </c:pt>
                <c:pt idx="72">
                  <c:v>42512</c:v>
                </c:pt>
                <c:pt idx="73">
                  <c:v>42519</c:v>
                </c:pt>
                <c:pt idx="74">
                  <c:v>42526</c:v>
                </c:pt>
                <c:pt idx="75">
                  <c:v>42533</c:v>
                </c:pt>
                <c:pt idx="76">
                  <c:v>42540</c:v>
                </c:pt>
                <c:pt idx="77">
                  <c:v>42547</c:v>
                </c:pt>
                <c:pt idx="78">
                  <c:v>42554</c:v>
                </c:pt>
                <c:pt idx="79">
                  <c:v>42561</c:v>
                </c:pt>
                <c:pt idx="80">
                  <c:v>42568</c:v>
                </c:pt>
                <c:pt idx="81">
                  <c:v>42575</c:v>
                </c:pt>
                <c:pt idx="82">
                  <c:v>42582</c:v>
                </c:pt>
                <c:pt idx="83">
                  <c:v>42589</c:v>
                </c:pt>
                <c:pt idx="84">
                  <c:v>42596</c:v>
                </c:pt>
                <c:pt idx="85">
                  <c:v>42603</c:v>
                </c:pt>
                <c:pt idx="86">
                  <c:v>42610</c:v>
                </c:pt>
                <c:pt idx="87">
                  <c:v>42617</c:v>
                </c:pt>
                <c:pt idx="88">
                  <c:v>42624</c:v>
                </c:pt>
                <c:pt idx="89">
                  <c:v>42631</c:v>
                </c:pt>
                <c:pt idx="90">
                  <c:v>42638</c:v>
                </c:pt>
                <c:pt idx="91">
                  <c:v>42645</c:v>
                </c:pt>
                <c:pt idx="92">
                  <c:v>42652</c:v>
                </c:pt>
                <c:pt idx="93">
                  <c:v>42659</c:v>
                </c:pt>
                <c:pt idx="94">
                  <c:v>42666</c:v>
                </c:pt>
                <c:pt idx="95">
                  <c:v>42673</c:v>
                </c:pt>
                <c:pt idx="96">
                  <c:v>42680</c:v>
                </c:pt>
                <c:pt idx="97">
                  <c:v>42687</c:v>
                </c:pt>
                <c:pt idx="98">
                  <c:v>42694</c:v>
                </c:pt>
                <c:pt idx="99">
                  <c:v>42701</c:v>
                </c:pt>
                <c:pt idx="100">
                  <c:v>42708</c:v>
                </c:pt>
                <c:pt idx="101">
                  <c:v>42715</c:v>
                </c:pt>
                <c:pt idx="102">
                  <c:v>42722</c:v>
                </c:pt>
                <c:pt idx="103">
                  <c:v>42729</c:v>
                </c:pt>
                <c:pt idx="104">
                  <c:v>42736</c:v>
                </c:pt>
                <c:pt idx="105">
                  <c:v>42743</c:v>
                </c:pt>
                <c:pt idx="106">
                  <c:v>42750</c:v>
                </c:pt>
                <c:pt idx="107">
                  <c:v>42757</c:v>
                </c:pt>
                <c:pt idx="108">
                  <c:v>42764</c:v>
                </c:pt>
                <c:pt idx="109">
                  <c:v>42771</c:v>
                </c:pt>
                <c:pt idx="110">
                  <c:v>42778</c:v>
                </c:pt>
                <c:pt idx="111">
                  <c:v>42785</c:v>
                </c:pt>
                <c:pt idx="112">
                  <c:v>42792</c:v>
                </c:pt>
                <c:pt idx="113">
                  <c:v>42799</c:v>
                </c:pt>
                <c:pt idx="114">
                  <c:v>42806</c:v>
                </c:pt>
                <c:pt idx="115">
                  <c:v>42813</c:v>
                </c:pt>
                <c:pt idx="116">
                  <c:v>42820</c:v>
                </c:pt>
                <c:pt idx="117">
                  <c:v>42827</c:v>
                </c:pt>
                <c:pt idx="118">
                  <c:v>42834</c:v>
                </c:pt>
                <c:pt idx="119">
                  <c:v>42841</c:v>
                </c:pt>
                <c:pt idx="120">
                  <c:v>42848</c:v>
                </c:pt>
                <c:pt idx="121">
                  <c:v>42855</c:v>
                </c:pt>
                <c:pt idx="122">
                  <c:v>42862</c:v>
                </c:pt>
                <c:pt idx="123">
                  <c:v>42869</c:v>
                </c:pt>
                <c:pt idx="124">
                  <c:v>42876</c:v>
                </c:pt>
                <c:pt idx="125">
                  <c:v>42883</c:v>
                </c:pt>
                <c:pt idx="126">
                  <c:v>42890</c:v>
                </c:pt>
                <c:pt idx="127">
                  <c:v>42897</c:v>
                </c:pt>
                <c:pt idx="128">
                  <c:v>42904</c:v>
                </c:pt>
                <c:pt idx="129">
                  <c:v>42911</c:v>
                </c:pt>
                <c:pt idx="130">
                  <c:v>42918</c:v>
                </c:pt>
                <c:pt idx="131">
                  <c:v>42925</c:v>
                </c:pt>
                <c:pt idx="132">
                  <c:v>42932</c:v>
                </c:pt>
                <c:pt idx="133">
                  <c:v>42939</c:v>
                </c:pt>
                <c:pt idx="134">
                  <c:v>42946</c:v>
                </c:pt>
                <c:pt idx="135">
                  <c:v>42953</c:v>
                </c:pt>
                <c:pt idx="136">
                  <c:v>42960</c:v>
                </c:pt>
                <c:pt idx="137">
                  <c:v>42967</c:v>
                </c:pt>
                <c:pt idx="138">
                  <c:v>42974</c:v>
                </c:pt>
                <c:pt idx="139">
                  <c:v>42981</c:v>
                </c:pt>
                <c:pt idx="140">
                  <c:v>42988</c:v>
                </c:pt>
                <c:pt idx="141">
                  <c:v>42995</c:v>
                </c:pt>
                <c:pt idx="142">
                  <c:v>43002</c:v>
                </c:pt>
                <c:pt idx="143">
                  <c:v>43009</c:v>
                </c:pt>
                <c:pt idx="144">
                  <c:v>43016</c:v>
                </c:pt>
                <c:pt idx="145">
                  <c:v>43023</c:v>
                </c:pt>
                <c:pt idx="146">
                  <c:v>43030</c:v>
                </c:pt>
                <c:pt idx="147">
                  <c:v>43037</c:v>
                </c:pt>
                <c:pt idx="148">
                  <c:v>43044</c:v>
                </c:pt>
                <c:pt idx="149">
                  <c:v>43051</c:v>
                </c:pt>
                <c:pt idx="150">
                  <c:v>43058</c:v>
                </c:pt>
                <c:pt idx="151">
                  <c:v>43065</c:v>
                </c:pt>
                <c:pt idx="152">
                  <c:v>43072</c:v>
                </c:pt>
                <c:pt idx="153">
                  <c:v>43079</c:v>
                </c:pt>
                <c:pt idx="154">
                  <c:v>43086</c:v>
                </c:pt>
                <c:pt idx="155">
                  <c:v>43093</c:v>
                </c:pt>
                <c:pt idx="156">
                  <c:v>43100</c:v>
                </c:pt>
                <c:pt idx="157">
                  <c:v>43107</c:v>
                </c:pt>
                <c:pt idx="158">
                  <c:v>43114</c:v>
                </c:pt>
                <c:pt idx="159">
                  <c:v>43121</c:v>
                </c:pt>
                <c:pt idx="160">
                  <c:v>43128</c:v>
                </c:pt>
                <c:pt idx="161">
                  <c:v>43135</c:v>
                </c:pt>
                <c:pt idx="162">
                  <c:v>43142</c:v>
                </c:pt>
                <c:pt idx="163">
                  <c:v>43149</c:v>
                </c:pt>
                <c:pt idx="164">
                  <c:v>43156</c:v>
                </c:pt>
                <c:pt idx="165">
                  <c:v>43163</c:v>
                </c:pt>
                <c:pt idx="166">
                  <c:v>43170</c:v>
                </c:pt>
                <c:pt idx="167">
                  <c:v>43177</c:v>
                </c:pt>
                <c:pt idx="168">
                  <c:v>43184</c:v>
                </c:pt>
                <c:pt idx="169">
                  <c:v>43191</c:v>
                </c:pt>
                <c:pt idx="170">
                  <c:v>43198</c:v>
                </c:pt>
                <c:pt idx="171">
                  <c:v>43205</c:v>
                </c:pt>
                <c:pt idx="172">
                  <c:v>43212</c:v>
                </c:pt>
                <c:pt idx="173">
                  <c:v>43219</c:v>
                </c:pt>
                <c:pt idx="174">
                  <c:v>43226</c:v>
                </c:pt>
                <c:pt idx="175">
                  <c:v>43233</c:v>
                </c:pt>
                <c:pt idx="176">
                  <c:v>43240</c:v>
                </c:pt>
                <c:pt idx="177">
                  <c:v>43247</c:v>
                </c:pt>
                <c:pt idx="178">
                  <c:v>43254</c:v>
                </c:pt>
                <c:pt idx="179">
                  <c:v>43261</c:v>
                </c:pt>
                <c:pt idx="180">
                  <c:v>43268</c:v>
                </c:pt>
                <c:pt idx="181">
                  <c:v>43275</c:v>
                </c:pt>
                <c:pt idx="182">
                  <c:v>43282</c:v>
                </c:pt>
                <c:pt idx="183">
                  <c:v>43289</c:v>
                </c:pt>
                <c:pt idx="184">
                  <c:v>43296</c:v>
                </c:pt>
                <c:pt idx="185">
                  <c:v>43303</c:v>
                </c:pt>
                <c:pt idx="186">
                  <c:v>43310</c:v>
                </c:pt>
                <c:pt idx="187">
                  <c:v>43317</c:v>
                </c:pt>
                <c:pt idx="188">
                  <c:v>43324</c:v>
                </c:pt>
                <c:pt idx="189">
                  <c:v>43331</c:v>
                </c:pt>
                <c:pt idx="190">
                  <c:v>43338</c:v>
                </c:pt>
                <c:pt idx="191">
                  <c:v>43345</c:v>
                </c:pt>
                <c:pt idx="192">
                  <c:v>43352</c:v>
                </c:pt>
                <c:pt idx="193">
                  <c:v>43359</c:v>
                </c:pt>
                <c:pt idx="194">
                  <c:v>43366</c:v>
                </c:pt>
                <c:pt idx="195">
                  <c:v>43373</c:v>
                </c:pt>
                <c:pt idx="196">
                  <c:v>43380</c:v>
                </c:pt>
                <c:pt idx="197">
                  <c:v>43387</c:v>
                </c:pt>
                <c:pt idx="198">
                  <c:v>43394</c:v>
                </c:pt>
                <c:pt idx="199">
                  <c:v>43401</c:v>
                </c:pt>
                <c:pt idx="200">
                  <c:v>43408</c:v>
                </c:pt>
                <c:pt idx="201">
                  <c:v>43415</c:v>
                </c:pt>
                <c:pt idx="202">
                  <c:v>43422</c:v>
                </c:pt>
                <c:pt idx="203">
                  <c:v>43429</c:v>
                </c:pt>
                <c:pt idx="204">
                  <c:v>43436</c:v>
                </c:pt>
                <c:pt idx="205">
                  <c:v>43443</c:v>
                </c:pt>
                <c:pt idx="206">
                  <c:v>43450</c:v>
                </c:pt>
                <c:pt idx="207">
                  <c:v>43457</c:v>
                </c:pt>
                <c:pt idx="208">
                  <c:v>43464</c:v>
                </c:pt>
                <c:pt idx="209">
                  <c:v>43471</c:v>
                </c:pt>
                <c:pt idx="210">
                  <c:v>43478</c:v>
                </c:pt>
                <c:pt idx="211">
                  <c:v>43485</c:v>
                </c:pt>
                <c:pt idx="212">
                  <c:v>43492</c:v>
                </c:pt>
                <c:pt idx="213">
                  <c:v>43499</c:v>
                </c:pt>
                <c:pt idx="214">
                  <c:v>43506</c:v>
                </c:pt>
                <c:pt idx="215">
                  <c:v>43513</c:v>
                </c:pt>
                <c:pt idx="216">
                  <c:v>43520</c:v>
                </c:pt>
                <c:pt idx="217">
                  <c:v>43527</c:v>
                </c:pt>
                <c:pt idx="218">
                  <c:v>43534</c:v>
                </c:pt>
                <c:pt idx="219">
                  <c:v>43541</c:v>
                </c:pt>
                <c:pt idx="220">
                  <c:v>43548</c:v>
                </c:pt>
                <c:pt idx="221">
                  <c:v>43555</c:v>
                </c:pt>
                <c:pt idx="222">
                  <c:v>43562</c:v>
                </c:pt>
                <c:pt idx="223">
                  <c:v>43569</c:v>
                </c:pt>
                <c:pt idx="224">
                  <c:v>43576</c:v>
                </c:pt>
                <c:pt idx="225">
                  <c:v>43583</c:v>
                </c:pt>
                <c:pt idx="226">
                  <c:v>43590</c:v>
                </c:pt>
                <c:pt idx="227">
                  <c:v>43597</c:v>
                </c:pt>
                <c:pt idx="228">
                  <c:v>43604</c:v>
                </c:pt>
                <c:pt idx="229">
                  <c:v>43611</c:v>
                </c:pt>
                <c:pt idx="230">
                  <c:v>43618</c:v>
                </c:pt>
                <c:pt idx="231">
                  <c:v>43625</c:v>
                </c:pt>
                <c:pt idx="232">
                  <c:v>43632</c:v>
                </c:pt>
                <c:pt idx="233">
                  <c:v>43639</c:v>
                </c:pt>
                <c:pt idx="234">
                  <c:v>43646</c:v>
                </c:pt>
                <c:pt idx="235">
                  <c:v>43653</c:v>
                </c:pt>
                <c:pt idx="236">
                  <c:v>43660</c:v>
                </c:pt>
                <c:pt idx="237">
                  <c:v>43667</c:v>
                </c:pt>
                <c:pt idx="238">
                  <c:v>43674</c:v>
                </c:pt>
                <c:pt idx="239">
                  <c:v>43681</c:v>
                </c:pt>
                <c:pt idx="240">
                  <c:v>43688</c:v>
                </c:pt>
                <c:pt idx="241">
                  <c:v>43695</c:v>
                </c:pt>
                <c:pt idx="242">
                  <c:v>43702</c:v>
                </c:pt>
                <c:pt idx="243">
                  <c:v>43709</c:v>
                </c:pt>
                <c:pt idx="244">
                  <c:v>43716</c:v>
                </c:pt>
                <c:pt idx="245">
                  <c:v>43723</c:v>
                </c:pt>
                <c:pt idx="246">
                  <c:v>43730</c:v>
                </c:pt>
                <c:pt idx="247">
                  <c:v>43737</c:v>
                </c:pt>
                <c:pt idx="248">
                  <c:v>43744</c:v>
                </c:pt>
                <c:pt idx="249">
                  <c:v>43751</c:v>
                </c:pt>
                <c:pt idx="250">
                  <c:v>43758</c:v>
                </c:pt>
                <c:pt idx="251">
                  <c:v>43765</c:v>
                </c:pt>
                <c:pt idx="252">
                  <c:v>43772</c:v>
                </c:pt>
                <c:pt idx="253">
                  <c:v>43779</c:v>
                </c:pt>
                <c:pt idx="254">
                  <c:v>43786</c:v>
                </c:pt>
                <c:pt idx="255">
                  <c:v>43793</c:v>
                </c:pt>
                <c:pt idx="256">
                  <c:v>43800</c:v>
                </c:pt>
                <c:pt idx="257">
                  <c:v>43807</c:v>
                </c:pt>
                <c:pt idx="258">
                  <c:v>43814</c:v>
                </c:pt>
                <c:pt idx="259">
                  <c:v>43821</c:v>
                </c:pt>
                <c:pt idx="260">
                  <c:v>43828</c:v>
                </c:pt>
                <c:pt idx="261">
                  <c:v>43835</c:v>
                </c:pt>
                <c:pt idx="262">
                  <c:v>43842</c:v>
                </c:pt>
                <c:pt idx="263">
                  <c:v>43849</c:v>
                </c:pt>
                <c:pt idx="264">
                  <c:v>43856</c:v>
                </c:pt>
                <c:pt idx="265">
                  <c:v>43863</c:v>
                </c:pt>
                <c:pt idx="266">
                  <c:v>43870</c:v>
                </c:pt>
                <c:pt idx="267">
                  <c:v>43877</c:v>
                </c:pt>
                <c:pt idx="268">
                  <c:v>43884</c:v>
                </c:pt>
                <c:pt idx="269">
                  <c:v>43891</c:v>
                </c:pt>
                <c:pt idx="270">
                  <c:v>43898</c:v>
                </c:pt>
                <c:pt idx="271">
                  <c:v>43905</c:v>
                </c:pt>
                <c:pt idx="272">
                  <c:v>43912</c:v>
                </c:pt>
                <c:pt idx="273">
                  <c:v>43919</c:v>
                </c:pt>
              </c:numCache>
            </c:numRef>
          </c:cat>
          <c:val>
            <c:numRef>
              <c:f>'Listed&amp;Price'!$J$19:$J$292</c:f>
              <c:numCache>
                <c:formatCode>General</c:formatCode>
                <c:ptCount val="274"/>
                <c:pt idx="0">
                  <c:v>100</c:v>
                </c:pt>
                <c:pt idx="1">
                  <c:v>37.79</c:v>
                </c:pt>
                <c:pt idx="2">
                  <c:v>33.56</c:v>
                </c:pt>
                <c:pt idx="3">
                  <c:v>31.59</c:v>
                </c:pt>
                <c:pt idx="4">
                  <c:v>31.02</c:v>
                </c:pt>
                <c:pt idx="5">
                  <c:v>28.26</c:v>
                </c:pt>
                <c:pt idx="6">
                  <c:v>16.82</c:v>
                </c:pt>
                <c:pt idx="7">
                  <c:v>3.6</c:v>
                </c:pt>
                <c:pt idx="8">
                  <c:v>14.04</c:v>
                </c:pt>
                <c:pt idx="9">
                  <c:v>25.78</c:v>
                </c:pt>
                <c:pt idx="10">
                  <c:v>33.04</c:v>
                </c:pt>
                <c:pt idx="11">
                  <c:v>47.25</c:v>
                </c:pt>
                <c:pt idx="12">
                  <c:v>48.62</c:v>
                </c:pt>
                <c:pt idx="13">
                  <c:v>52.25</c:v>
                </c:pt>
                <c:pt idx="14">
                  <c:v>89.75</c:v>
                </c:pt>
                <c:pt idx="15">
                  <c:v>135.38</c:v>
                </c:pt>
                <c:pt idx="16">
                  <c:v>62.34</c:v>
                </c:pt>
                <c:pt idx="17">
                  <c:v>162.84</c:v>
                </c:pt>
                <c:pt idx="18">
                  <c:v>68.16</c:v>
                </c:pt>
                <c:pt idx="19">
                  <c:v>64.7</c:v>
                </c:pt>
                <c:pt idx="20">
                  <c:v>59.94</c:v>
                </c:pt>
                <c:pt idx="21">
                  <c:v>58.71</c:v>
                </c:pt>
                <c:pt idx="22">
                  <c:v>170.18</c:v>
                </c:pt>
                <c:pt idx="23">
                  <c:v>82.21</c:v>
                </c:pt>
                <c:pt idx="24">
                  <c:v>57.22</c:v>
                </c:pt>
                <c:pt idx="25">
                  <c:v>61.53</c:v>
                </c:pt>
                <c:pt idx="26">
                  <c:v>105.35</c:v>
                </c:pt>
                <c:pt idx="27">
                  <c:v>96.36</c:v>
                </c:pt>
                <c:pt idx="28">
                  <c:v>82.97</c:v>
                </c:pt>
                <c:pt idx="29">
                  <c:v>79.209999999999994</c:v>
                </c:pt>
                <c:pt idx="30">
                  <c:v>240.43</c:v>
                </c:pt>
                <c:pt idx="31">
                  <c:v>228.92</c:v>
                </c:pt>
                <c:pt idx="32">
                  <c:v>167.4</c:v>
                </c:pt>
                <c:pt idx="33">
                  <c:v>140.15</c:v>
                </c:pt>
                <c:pt idx="34">
                  <c:v>249.28</c:v>
                </c:pt>
                <c:pt idx="35">
                  <c:v>228.51</c:v>
                </c:pt>
                <c:pt idx="36">
                  <c:v>172.92</c:v>
                </c:pt>
                <c:pt idx="37">
                  <c:v>281.85000000000002</c:v>
                </c:pt>
                <c:pt idx="38">
                  <c:v>252.6</c:v>
                </c:pt>
                <c:pt idx="39">
                  <c:v>178.62</c:v>
                </c:pt>
                <c:pt idx="40">
                  <c:v>212.81</c:v>
                </c:pt>
                <c:pt idx="41">
                  <c:v>258.33</c:v>
                </c:pt>
                <c:pt idx="42">
                  <c:v>237.21</c:v>
                </c:pt>
                <c:pt idx="43">
                  <c:v>165.97</c:v>
                </c:pt>
                <c:pt idx="44">
                  <c:v>282.83</c:v>
                </c:pt>
                <c:pt idx="45">
                  <c:v>228.02</c:v>
                </c:pt>
                <c:pt idx="46">
                  <c:v>175.98</c:v>
                </c:pt>
                <c:pt idx="47">
                  <c:v>280.11</c:v>
                </c:pt>
                <c:pt idx="48">
                  <c:v>314.7</c:v>
                </c:pt>
                <c:pt idx="49">
                  <c:v>274.62</c:v>
                </c:pt>
                <c:pt idx="50">
                  <c:v>288.24</c:v>
                </c:pt>
                <c:pt idx="51">
                  <c:v>293.99</c:v>
                </c:pt>
                <c:pt idx="52">
                  <c:v>306.83999999999997</c:v>
                </c:pt>
                <c:pt idx="53">
                  <c:v>228.86</c:v>
                </c:pt>
                <c:pt idx="54">
                  <c:v>301.56</c:v>
                </c:pt>
                <c:pt idx="55">
                  <c:v>307.48</c:v>
                </c:pt>
                <c:pt idx="56">
                  <c:v>185.6</c:v>
                </c:pt>
                <c:pt idx="57">
                  <c:v>266.12</c:v>
                </c:pt>
                <c:pt idx="58">
                  <c:v>209.33</c:v>
                </c:pt>
                <c:pt idx="59">
                  <c:v>264.10000000000002</c:v>
                </c:pt>
                <c:pt idx="60">
                  <c:v>259.89</c:v>
                </c:pt>
                <c:pt idx="61">
                  <c:v>389.72</c:v>
                </c:pt>
                <c:pt idx="62">
                  <c:v>479.39</c:v>
                </c:pt>
                <c:pt idx="63">
                  <c:v>213.56</c:v>
                </c:pt>
                <c:pt idx="64">
                  <c:v>363.85</c:v>
                </c:pt>
                <c:pt idx="65">
                  <c:v>374.79</c:v>
                </c:pt>
                <c:pt idx="66">
                  <c:v>506.87</c:v>
                </c:pt>
                <c:pt idx="67">
                  <c:v>1059.1600000000001</c:v>
                </c:pt>
                <c:pt idx="68">
                  <c:v>163.86</c:v>
                </c:pt>
                <c:pt idx="69">
                  <c:v>138.26</c:v>
                </c:pt>
                <c:pt idx="70">
                  <c:v>151.66999999999999</c:v>
                </c:pt>
                <c:pt idx="71">
                  <c:v>420.02</c:v>
                </c:pt>
                <c:pt idx="72">
                  <c:v>240.17</c:v>
                </c:pt>
                <c:pt idx="73">
                  <c:v>162.07</c:v>
                </c:pt>
                <c:pt idx="74">
                  <c:v>175.96</c:v>
                </c:pt>
                <c:pt idx="75">
                  <c:v>174.73</c:v>
                </c:pt>
                <c:pt idx="76">
                  <c:v>175.63</c:v>
                </c:pt>
                <c:pt idx="77">
                  <c:v>174.48</c:v>
                </c:pt>
                <c:pt idx="78">
                  <c:v>182.38</c:v>
                </c:pt>
                <c:pt idx="79">
                  <c:v>184.15</c:v>
                </c:pt>
                <c:pt idx="80">
                  <c:v>203.35</c:v>
                </c:pt>
                <c:pt idx="81">
                  <c:v>143.12</c:v>
                </c:pt>
                <c:pt idx="82">
                  <c:v>144.41</c:v>
                </c:pt>
                <c:pt idx="83">
                  <c:v>138.99</c:v>
                </c:pt>
                <c:pt idx="84">
                  <c:v>104.04</c:v>
                </c:pt>
                <c:pt idx="85">
                  <c:v>184.4</c:v>
                </c:pt>
                <c:pt idx="86">
                  <c:v>205.84</c:v>
                </c:pt>
                <c:pt idx="87">
                  <c:v>194.98</c:v>
                </c:pt>
                <c:pt idx="88">
                  <c:v>179.01</c:v>
                </c:pt>
                <c:pt idx="89">
                  <c:v>119.7</c:v>
                </c:pt>
                <c:pt idx="90">
                  <c:v>190.72</c:v>
                </c:pt>
                <c:pt idx="91">
                  <c:v>161.94</c:v>
                </c:pt>
                <c:pt idx="92">
                  <c:v>161.44</c:v>
                </c:pt>
                <c:pt idx="93">
                  <c:v>236.06</c:v>
                </c:pt>
                <c:pt idx="94">
                  <c:v>174.24</c:v>
                </c:pt>
                <c:pt idx="95">
                  <c:v>138.08000000000001</c:v>
                </c:pt>
                <c:pt idx="96">
                  <c:v>181.15</c:v>
                </c:pt>
                <c:pt idx="97">
                  <c:v>194.03</c:v>
                </c:pt>
                <c:pt idx="98">
                  <c:v>205.59</c:v>
                </c:pt>
                <c:pt idx="99">
                  <c:v>179.25</c:v>
                </c:pt>
                <c:pt idx="100">
                  <c:v>200.92</c:v>
                </c:pt>
                <c:pt idx="101">
                  <c:v>219.62</c:v>
                </c:pt>
                <c:pt idx="102">
                  <c:v>249.11</c:v>
                </c:pt>
                <c:pt idx="103">
                  <c:v>182.82</c:v>
                </c:pt>
                <c:pt idx="104">
                  <c:v>139.86000000000001</c:v>
                </c:pt>
                <c:pt idx="105">
                  <c:v>124.49</c:v>
                </c:pt>
                <c:pt idx="106">
                  <c:v>136.72999999999999</c:v>
                </c:pt>
                <c:pt idx="107">
                  <c:v>207.52</c:v>
                </c:pt>
                <c:pt idx="108">
                  <c:v>51.16</c:v>
                </c:pt>
                <c:pt idx="109">
                  <c:v>94.38</c:v>
                </c:pt>
                <c:pt idx="110">
                  <c:v>166.74</c:v>
                </c:pt>
                <c:pt idx="111">
                  <c:v>150.6</c:v>
                </c:pt>
                <c:pt idx="112">
                  <c:v>190.34</c:v>
                </c:pt>
                <c:pt idx="113">
                  <c:v>193.76</c:v>
                </c:pt>
                <c:pt idx="114">
                  <c:v>183.51</c:v>
                </c:pt>
                <c:pt idx="115">
                  <c:v>252.86</c:v>
                </c:pt>
                <c:pt idx="116">
                  <c:v>288.04000000000002</c:v>
                </c:pt>
                <c:pt idx="117">
                  <c:v>278.89</c:v>
                </c:pt>
                <c:pt idx="118">
                  <c:v>294.05</c:v>
                </c:pt>
                <c:pt idx="119">
                  <c:v>223.95</c:v>
                </c:pt>
                <c:pt idx="120">
                  <c:v>115.41</c:v>
                </c:pt>
                <c:pt idx="121">
                  <c:v>160.79</c:v>
                </c:pt>
                <c:pt idx="122">
                  <c:v>229.06</c:v>
                </c:pt>
                <c:pt idx="123">
                  <c:v>231.67</c:v>
                </c:pt>
                <c:pt idx="124">
                  <c:v>223.55</c:v>
                </c:pt>
                <c:pt idx="125">
                  <c:v>199.6</c:v>
                </c:pt>
                <c:pt idx="126">
                  <c:v>173.37</c:v>
                </c:pt>
                <c:pt idx="127">
                  <c:v>142.47</c:v>
                </c:pt>
                <c:pt idx="128">
                  <c:v>210.46</c:v>
                </c:pt>
                <c:pt idx="129">
                  <c:v>124.81</c:v>
                </c:pt>
                <c:pt idx="130">
                  <c:v>182.79</c:v>
                </c:pt>
                <c:pt idx="131">
                  <c:v>145.58000000000001</c:v>
                </c:pt>
                <c:pt idx="132">
                  <c:v>289.88</c:v>
                </c:pt>
                <c:pt idx="133">
                  <c:v>357.03</c:v>
                </c:pt>
                <c:pt idx="134">
                  <c:v>276.13</c:v>
                </c:pt>
                <c:pt idx="135">
                  <c:v>291.10000000000002</c:v>
                </c:pt>
                <c:pt idx="136">
                  <c:v>208.86</c:v>
                </c:pt>
                <c:pt idx="137">
                  <c:v>387.71</c:v>
                </c:pt>
                <c:pt idx="138">
                  <c:v>378.19</c:v>
                </c:pt>
                <c:pt idx="139">
                  <c:v>471.14</c:v>
                </c:pt>
                <c:pt idx="140">
                  <c:v>417.21</c:v>
                </c:pt>
                <c:pt idx="141">
                  <c:v>389.12</c:v>
                </c:pt>
                <c:pt idx="142">
                  <c:v>523.88</c:v>
                </c:pt>
                <c:pt idx="143">
                  <c:v>388.53</c:v>
                </c:pt>
                <c:pt idx="144">
                  <c:v>198.78</c:v>
                </c:pt>
                <c:pt idx="145">
                  <c:v>442.6</c:v>
                </c:pt>
                <c:pt idx="146">
                  <c:v>561.72</c:v>
                </c:pt>
                <c:pt idx="147">
                  <c:v>494.47</c:v>
                </c:pt>
                <c:pt idx="148">
                  <c:v>447.24</c:v>
                </c:pt>
                <c:pt idx="149">
                  <c:v>427.99</c:v>
                </c:pt>
                <c:pt idx="150">
                  <c:v>425.55</c:v>
                </c:pt>
                <c:pt idx="151">
                  <c:v>561.47</c:v>
                </c:pt>
                <c:pt idx="152">
                  <c:v>480.16</c:v>
                </c:pt>
                <c:pt idx="153">
                  <c:v>479.46</c:v>
                </c:pt>
                <c:pt idx="154">
                  <c:v>425.28</c:v>
                </c:pt>
                <c:pt idx="155">
                  <c:v>518.6</c:v>
                </c:pt>
                <c:pt idx="156">
                  <c:v>395.96</c:v>
                </c:pt>
                <c:pt idx="157">
                  <c:v>479.2</c:v>
                </c:pt>
                <c:pt idx="158">
                  <c:v>405.15</c:v>
                </c:pt>
                <c:pt idx="159">
                  <c:v>442.39</c:v>
                </c:pt>
                <c:pt idx="160">
                  <c:v>364.41</c:v>
                </c:pt>
                <c:pt idx="161">
                  <c:v>389.57</c:v>
                </c:pt>
                <c:pt idx="162">
                  <c:v>317.2</c:v>
                </c:pt>
                <c:pt idx="163">
                  <c:v>255.76</c:v>
                </c:pt>
                <c:pt idx="164">
                  <c:v>274.22000000000003</c:v>
                </c:pt>
                <c:pt idx="165">
                  <c:v>373.68</c:v>
                </c:pt>
                <c:pt idx="166">
                  <c:v>420.92</c:v>
                </c:pt>
                <c:pt idx="167">
                  <c:v>415.28</c:v>
                </c:pt>
                <c:pt idx="168">
                  <c:v>355.3</c:v>
                </c:pt>
                <c:pt idx="169">
                  <c:v>336.41</c:v>
                </c:pt>
                <c:pt idx="170">
                  <c:v>506.97</c:v>
                </c:pt>
                <c:pt idx="171">
                  <c:v>510.36</c:v>
                </c:pt>
                <c:pt idx="172">
                  <c:v>472.78</c:v>
                </c:pt>
                <c:pt idx="173">
                  <c:v>442.73</c:v>
                </c:pt>
                <c:pt idx="174">
                  <c:v>562.95000000000005</c:v>
                </c:pt>
                <c:pt idx="175">
                  <c:v>523.45000000000005</c:v>
                </c:pt>
                <c:pt idx="176">
                  <c:v>459.77</c:v>
                </c:pt>
                <c:pt idx="177">
                  <c:v>441.43</c:v>
                </c:pt>
                <c:pt idx="178">
                  <c:v>518.65</c:v>
                </c:pt>
                <c:pt idx="179">
                  <c:v>463.72</c:v>
                </c:pt>
                <c:pt idx="180">
                  <c:v>291.39</c:v>
                </c:pt>
                <c:pt idx="181">
                  <c:v>332.34</c:v>
                </c:pt>
                <c:pt idx="182">
                  <c:v>340.55</c:v>
                </c:pt>
                <c:pt idx="183">
                  <c:v>477.67</c:v>
                </c:pt>
                <c:pt idx="184">
                  <c:v>402.29</c:v>
                </c:pt>
                <c:pt idx="185">
                  <c:v>320.87</c:v>
                </c:pt>
                <c:pt idx="186">
                  <c:v>395.48</c:v>
                </c:pt>
                <c:pt idx="187">
                  <c:v>512.72</c:v>
                </c:pt>
                <c:pt idx="188">
                  <c:v>446.88</c:v>
                </c:pt>
                <c:pt idx="189">
                  <c:v>427.03</c:v>
                </c:pt>
                <c:pt idx="190">
                  <c:v>407.59</c:v>
                </c:pt>
                <c:pt idx="191">
                  <c:v>478.16</c:v>
                </c:pt>
                <c:pt idx="192">
                  <c:v>616.84</c:v>
                </c:pt>
                <c:pt idx="193">
                  <c:v>548.14</c:v>
                </c:pt>
                <c:pt idx="194">
                  <c:v>504.38</c:v>
                </c:pt>
                <c:pt idx="195">
                  <c:v>469.52</c:v>
                </c:pt>
                <c:pt idx="196">
                  <c:v>567.74</c:v>
                </c:pt>
                <c:pt idx="197">
                  <c:v>650.11</c:v>
                </c:pt>
                <c:pt idx="198">
                  <c:v>440.43</c:v>
                </c:pt>
                <c:pt idx="199">
                  <c:v>375.04</c:v>
                </c:pt>
                <c:pt idx="200">
                  <c:v>577.25</c:v>
                </c:pt>
                <c:pt idx="201">
                  <c:v>681.11</c:v>
                </c:pt>
                <c:pt idx="202">
                  <c:v>505.22</c:v>
                </c:pt>
                <c:pt idx="203">
                  <c:v>602.04999999999995</c:v>
                </c:pt>
                <c:pt idx="204">
                  <c:v>376.18</c:v>
                </c:pt>
                <c:pt idx="205">
                  <c:v>421.04</c:v>
                </c:pt>
                <c:pt idx="206">
                  <c:v>433.44</c:v>
                </c:pt>
                <c:pt idx="207">
                  <c:v>416.1</c:v>
                </c:pt>
                <c:pt idx="208">
                  <c:v>383.99</c:v>
                </c:pt>
                <c:pt idx="209">
                  <c:v>520.84</c:v>
                </c:pt>
                <c:pt idx="210">
                  <c:v>552.66</c:v>
                </c:pt>
                <c:pt idx="211">
                  <c:v>444.93</c:v>
                </c:pt>
                <c:pt idx="212">
                  <c:v>368.54</c:v>
                </c:pt>
                <c:pt idx="213">
                  <c:v>293.77</c:v>
                </c:pt>
                <c:pt idx="214">
                  <c:v>245.74</c:v>
                </c:pt>
                <c:pt idx="215">
                  <c:v>475.63</c:v>
                </c:pt>
                <c:pt idx="216">
                  <c:v>470.26</c:v>
                </c:pt>
                <c:pt idx="217">
                  <c:v>509.22</c:v>
                </c:pt>
                <c:pt idx="218">
                  <c:v>488.27</c:v>
                </c:pt>
                <c:pt idx="219">
                  <c:v>443.62</c:v>
                </c:pt>
                <c:pt idx="220">
                  <c:v>438.44</c:v>
                </c:pt>
                <c:pt idx="221">
                  <c:v>430.39</c:v>
                </c:pt>
                <c:pt idx="222">
                  <c:v>583.20000000000005</c:v>
                </c:pt>
                <c:pt idx="223">
                  <c:v>442.73</c:v>
                </c:pt>
                <c:pt idx="224">
                  <c:v>410.19</c:v>
                </c:pt>
                <c:pt idx="225">
                  <c:v>337.26</c:v>
                </c:pt>
                <c:pt idx="226">
                  <c:v>452.25</c:v>
                </c:pt>
                <c:pt idx="227">
                  <c:v>632.78</c:v>
                </c:pt>
                <c:pt idx="228">
                  <c:v>492.11</c:v>
                </c:pt>
                <c:pt idx="229">
                  <c:v>413.8</c:v>
                </c:pt>
                <c:pt idx="230">
                  <c:v>461.77</c:v>
                </c:pt>
                <c:pt idx="231">
                  <c:v>501.26</c:v>
                </c:pt>
                <c:pt idx="232">
                  <c:v>439.16</c:v>
                </c:pt>
                <c:pt idx="233">
                  <c:v>422.33</c:v>
                </c:pt>
                <c:pt idx="234">
                  <c:v>399.61</c:v>
                </c:pt>
                <c:pt idx="235">
                  <c:v>563.19000000000005</c:v>
                </c:pt>
                <c:pt idx="236">
                  <c:v>425.13</c:v>
                </c:pt>
                <c:pt idx="237">
                  <c:v>365.04</c:v>
                </c:pt>
                <c:pt idx="238">
                  <c:v>327.14999999999998</c:v>
                </c:pt>
                <c:pt idx="239">
                  <c:v>385.48</c:v>
                </c:pt>
                <c:pt idx="240">
                  <c:v>556.76</c:v>
                </c:pt>
                <c:pt idx="241">
                  <c:v>586.20000000000005</c:v>
                </c:pt>
                <c:pt idx="242">
                  <c:v>383.66</c:v>
                </c:pt>
                <c:pt idx="243">
                  <c:v>825.73</c:v>
                </c:pt>
                <c:pt idx="244">
                  <c:v>500.74</c:v>
                </c:pt>
                <c:pt idx="245">
                  <c:v>350.79</c:v>
                </c:pt>
                <c:pt idx="246">
                  <c:v>408.51</c:v>
                </c:pt>
                <c:pt idx="247">
                  <c:v>371.07</c:v>
                </c:pt>
                <c:pt idx="248">
                  <c:v>424.51</c:v>
                </c:pt>
                <c:pt idx="249">
                  <c:v>403.58</c:v>
                </c:pt>
                <c:pt idx="250">
                  <c:v>389.34</c:v>
                </c:pt>
                <c:pt idx="251">
                  <c:v>407.07</c:v>
                </c:pt>
                <c:pt idx="252">
                  <c:v>459.42</c:v>
                </c:pt>
                <c:pt idx="253">
                  <c:v>512.86</c:v>
                </c:pt>
                <c:pt idx="254">
                  <c:v>478.31</c:v>
                </c:pt>
                <c:pt idx="255">
                  <c:v>420.92</c:v>
                </c:pt>
                <c:pt idx="256">
                  <c:v>372.65</c:v>
                </c:pt>
                <c:pt idx="257">
                  <c:v>371.49</c:v>
                </c:pt>
                <c:pt idx="258">
                  <c:v>317.68</c:v>
                </c:pt>
                <c:pt idx="259">
                  <c:v>284.41000000000003</c:v>
                </c:pt>
                <c:pt idx="260">
                  <c:v>256.99</c:v>
                </c:pt>
                <c:pt idx="261">
                  <c:v>340.46</c:v>
                </c:pt>
                <c:pt idx="262">
                  <c:v>317.26</c:v>
                </c:pt>
                <c:pt idx="263">
                  <c:v>309.82</c:v>
                </c:pt>
                <c:pt idx="264">
                  <c:v>223.44</c:v>
                </c:pt>
                <c:pt idx="265">
                  <c:v>154.86000000000001</c:v>
                </c:pt>
                <c:pt idx="266">
                  <c:v>183.13</c:v>
                </c:pt>
                <c:pt idx="267">
                  <c:v>175.71</c:v>
                </c:pt>
                <c:pt idx="268">
                  <c:v>218.4</c:v>
                </c:pt>
                <c:pt idx="269">
                  <c:v>270.72000000000003</c:v>
                </c:pt>
                <c:pt idx="270">
                  <c:v>355.74</c:v>
                </c:pt>
                <c:pt idx="271">
                  <c:v>333.2</c:v>
                </c:pt>
                <c:pt idx="272">
                  <c:v>322.89</c:v>
                </c:pt>
                <c:pt idx="273">
                  <c:v>333.61</c:v>
                </c:pt>
              </c:numCache>
            </c:numRef>
          </c:val>
          <c:extLst>
            <c:ext xmlns:c16="http://schemas.microsoft.com/office/drawing/2014/chart" uri="{C3380CC4-5D6E-409C-BE32-E72D297353CC}">
              <c16:uniqueId val="{00000000-D210-4192-BAB3-F34E1B0F4333}"/>
            </c:ext>
          </c:extLst>
        </c:ser>
        <c:dLbls>
          <c:showLegendKey val="0"/>
          <c:showVal val="0"/>
          <c:showCatName val="0"/>
          <c:showSerName val="0"/>
          <c:showPercent val="0"/>
          <c:showBubbleSize val="0"/>
        </c:dLbls>
        <c:gapWidth val="219"/>
        <c:axId val="-2022698912"/>
        <c:axId val="-2022694016"/>
      </c:barChart>
      <c:lineChart>
        <c:grouping val="standard"/>
        <c:varyColors val="0"/>
        <c:ser>
          <c:idx val="1"/>
          <c:order val="1"/>
          <c:tx>
            <c:strRef>
              <c:f>'Listed&amp;Price'!$K$18</c:f>
              <c:strCache>
                <c:ptCount val="1"/>
                <c:pt idx="0">
                  <c:v>Listed for-sale Price Index(RHS)</c:v>
                </c:pt>
              </c:strCache>
            </c:strRef>
          </c:tx>
          <c:spPr>
            <a:ln w="12700" cap="rnd">
              <a:solidFill>
                <a:srgbClr val="C00000"/>
              </a:solidFill>
              <a:round/>
            </a:ln>
            <a:effectLst/>
          </c:spPr>
          <c:marker>
            <c:symbol val="none"/>
          </c:marker>
          <c:cat>
            <c:numRef>
              <c:f>'Listed&amp;Price'!$A$19:$A$292</c:f>
              <c:numCache>
                <c:formatCode>m/d/yyyy</c:formatCode>
                <c:ptCount val="274"/>
                <c:pt idx="0">
                  <c:v>42008</c:v>
                </c:pt>
                <c:pt idx="1">
                  <c:v>42015</c:v>
                </c:pt>
                <c:pt idx="2">
                  <c:v>42022</c:v>
                </c:pt>
                <c:pt idx="3">
                  <c:v>42029</c:v>
                </c:pt>
                <c:pt idx="4">
                  <c:v>42036</c:v>
                </c:pt>
                <c:pt idx="5">
                  <c:v>42043</c:v>
                </c:pt>
                <c:pt idx="6">
                  <c:v>42050</c:v>
                </c:pt>
                <c:pt idx="7">
                  <c:v>42057</c:v>
                </c:pt>
                <c:pt idx="8">
                  <c:v>42064</c:v>
                </c:pt>
                <c:pt idx="9">
                  <c:v>42071</c:v>
                </c:pt>
                <c:pt idx="10">
                  <c:v>42078</c:v>
                </c:pt>
                <c:pt idx="11">
                  <c:v>42085</c:v>
                </c:pt>
                <c:pt idx="12">
                  <c:v>42092</c:v>
                </c:pt>
                <c:pt idx="13">
                  <c:v>42099</c:v>
                </c:pt>
                <c:pt idx="14">
                  <c:v>42106</c:v>
                </c:pt>
                <c:pt idx="15">
                  <c:v>42113</c:v>
                </c:pt>
                <c:pt idx="16">
                  <c:v>42120</c:v>
                </c:pt>
                <c:pt idx="17">
                  <c:v>42127</c:v>
                </c:pt>
                <c:pt idx="18">
                  <c:v>42134</c:v>
                </c:pt>
                <c:pt idx="19">
                  <c:v>42141</c:v>
                </c:pt>
                <c:pt idx="20">
                  <c:v>42148</c:v>
                </c:pt>
                <c:pt idx="21">
                  <c:v>42155</c:v>
                </c:pt>
                <c:pt idx="22">
                  <c:v>42162</c:v>
                </c:pt>
                <c:pt idx="23">
                  <c:v>42169</c:v>
                </c:pt>
                <c:pt idx="24">
                  <c:v>42176</c:v>
                </c:pt>
                <c:pt idx="25">
                  <c:v>42183</c:v>
                </c:pt>
                <c:pt idx="26">
                  <c:v>42190</c:v>
                </c:pt>
                <c:pt idx="27">
                  <c:v>42197</c:v>
                </c:pt>
                <c:pt idx="28">
                  <c:v>42204</c:v>
                </c:pt>
                <c:pt idx="29">
                  <c:v>42211</c:v>
                </c:pt>
                <c:pt idx="30">
                  <c:v>42218</c:v>
                </c:pt>
                <c:pt idx="31">
                  <c:v>42225</c:v>
                </c:pt>
                <c:pt idx="32">
                  <c:v>42232</c:v>
                </c:pt>
                <c:pt idx="33">
                  <c:v>42239</c:v>
                </c:pt>
                <c:pt idx="34">
                  <c:v>42246</c:v>
                </c:pt>
                <c:pt idx="35">
                  <c:v>42253</c:v>
                </c:pt>
                <c:pt idx="36">
                  <c:v>42260</c:v>
                </c:pt>
                <c:pt idx="37">
                  <c:v>42267</c:v>
                </c:pt>
                <c:pt idx="38">
                  <c:v>42274</c:v>
                </c:pt>
                <c:pt idx="39">
                  <c:v>42281</c:v>
                </c:pt>
                <c:pt idx="40">
                  <c:v>42288</c:v>
                </c:pt>
                <c:pt idx="41">
                  <c:v>42295</c:v>
                </c:pt>
                <c:pt idx="42">
                  <c:v>42302</c:v>
                </c:pt>
                <c:pt idx="43">
                  <c:v>42309</c:v>
                </c:pt>
                <c:pt idx="44">
                  <c:v>42316</c:v>
                </c:pt>
                <c:pt idx="45">
                  <c:v>42323</c:v>
                </c:pt>
                <c:pt idx="46">
                  <c:v>42330</c:v>
                </c:pt>
                <c:pt idx="47">
                  <c:v>42337</c:v>
                </c:pt>
                <c:pt idx="48">
                  <c:v>42344</c:v>
                </c:pt>
                <c:pt idx="49">
                  <c:v>42351</c:v>
                </c:pt>
                <c:pt idx="50">
                  <c:v>42358</c:v>
                </c:pt>
                <c:pt idx="51">
                  <c:v>42365</c:v>
                </c:pt>
                <c:pt idx="52">
                  <c:v>42372</c:v>
                </c:pt>
                <c:pt idx="53">
                  <c:v>42379</c:v>
                </c:pt>
                <c:pt idx="54">
                  <c:v>42386</c:v>
                </c:pt>
                <c:pt idx="55">
                  <c:v>42393</c:v>
                </c:pt>
                <c:pt idx="56">
                  <c:v>42400</c:v>
                </c:pt>
                <c:pt idx="57">
                  <c:v>42407</c:v>
                </c:pt>
                <c:pt idx="58">
                  <c:v>42414</c:v>
                </c:pt>
                <c:pt idx="59">
                  <c:v>42421</c:v>
                </c:pt>
                <c:pt idx="60">
                  <c:v>42428</c:v>
                </c:pt>
                <c:pt idx="61">
                  <c:v>42435</c:v>
                </c:pt>
                <c:pt idx="62">
                  <c:v>42442</c:v>
                </c:pt>
                <c:pt idx="63">
                  <c:v>42449</c:v>
                </c:pt>
                <c:pt idx="64">
                  <c:v>42456</c:v>
                </c:pt>
                <c:pt idx="65">
                  <c:v>42463</c:v>
                </c:pt>
                <c:pt idx="66">
                  <c:v>42470</c:v>
                </c:pt>
                <c:pt idx="67">
                  <c:v>42477</c:v>
                </c:pt>
                <c:pt idx="68">
                  <c:v>42484</c:v>
                </c:pt>
                <c:pt idx="69">
                  <c:v>42491</c:v>
                </c:pt>
                <c:pt idx="70">
                  <c:v>42498</c:v>
                </c:pt>
                <c:pt idx="71">
                  <c:v>42505</c:v>
                </c:pt>
                <c:pt idx="72">
                  <c:v>42512</c:v>
                </c:pt>
                <c:pt idx="73">
                  <c:v>42519</c:v>
                </c:pt>
                <c:pt idx="74">
                  <c:v>42526</c:v>
                </c:pt>
                <c:pt idx="75">
                  <c:v>42533</c:v>
                </c:pt>
                <c:pt idx="76">
                  <c:v>42540</c:v>
                </c:pt>
                <c:pt idx="77">
                  <c:v>42547</c:v>
                </c:pt>
                <c:pt idx="78">
                  <c:v>42554</c:v>
                </c:pt>
                <c:pt idx="79">
                  <c:v>42561</c:v>
                </c:pt>
                <c:pt idx="80">
                  <c:v>42568</c:v>
                </c:pt>
                <c:pt idx="81">
                  <c:v>42575</c:v>
                </c:pt>
                <c:pt idx="82">
                  <c:v>42582</c:v>
                </c:pt>
                <c:pt idx="83">
                  <c:v>42589</c:v>
                </c:pt>
                <c:pt idx="84">
                  <c:v>42596</c:v>
                </c:pt>
                <c:pt idx="85">
                  <c:v>42603</c:v>
                </c:pt>
                <c:pt idx="86">
                  <c:v>42610</c:v>
                </c:pt>
                <c:pt idx="87">
                  <c:v>42617</c:v>
                </c:pt>
                <c:pt idx="88">
                  <c:v>42624</c:v>
                </c:pt>
                <c:pt idx="89">
                  <c:v>42631</c:v>
                </c:pt>
                <c:pt idx="90">
                  <c:v>42638</c:v>
                </c:pt>
                <c:pt idx="91">
                  <c:v>42645</c:v>
                </c:pt>
                <c:pt idx="92">
                  <c:v>42652</c:v>
                </c:pt>
                <c:pt idx="93">
                  <c:v>42659</c:v>
                </c:pt>
                <c:pt idx="94">
                  <c:v>42666</c:v>
                </c:pt>
                <c:pt idx="95">
                  <c:v>42673</c:v>
                </c:pt>
                <c:pt idx="96">
                  <c:v>42680</c:v>
                </c:pt>
                <c:pt idx="97">
                  <c:v>42687</c:v>
                </c:pt>
                <c:pt idx="98">
                  <c:v>42694</c:v>
                </c:pt>
                <c:pt idx="99">
                  <c:v>42701</c:v>
                </c:pt>
                <c:pt idx="100">
                  <c:v>42708</c:v>
                </c:pt>
                <c:pt idx="101">
                  <c:v>42715</c:v>
                </c:pt>
                <c:pt idx="102">
                  <c:v>42722</c:v>
                </c:pt>
                <c:pt idx="103">
                  <c:v>42729</c:v>
                </c:pt>
                <c:pt idx="104">
                  <c:v>42736</c:v>
                </c:pt>
                <c:pt idx="105">
                  <c:v>42743</c:v>
                </c:pt>
                <c:pt idx="106">
                  <c:v>42750</c:v>
                </c:pt>
                <c:pt idx="107">
                  <c:v>42757</c:v>
                </c:pt>
                <c:pt idx="108">
                  <c:v>42764</c:v>
                </c:pt>
                <c:pt idx="109">
                  <c:v>42771</c:v>
                </c:pt>
                <c:pt idx="110">
                  <c:v>42778</c:v>
                </c:pt>
                <c:pt idx="111">
                  <c:v>42785</c:v>
                </c:pt>
                <c:pt idx="112">
                  <c:v>42792</c:v>
                </c:pt>
                <c:pt idx="113">
                  <c:v>42799</c:v>
                </c:pt>
                <c:pt idx="114">
                  <c:v>42806</c:v>
                </c:pt>
                <c:pt idx="115">
                  <c:v>42813</c:v>
                </c:pt>
                <c:pt idx="116">
                  <c:v>42820</c:v>
                </c:pt>
                <c:pt idx="117">
                  <c:v>42827</c:v>
                </c:pt>
                <c:pt idx="118">
                  <c:v>42834</c:v>
                </c:pt>
                <c:pt idx="119">
                  <c:v>42841</c:v>
                </c:pt>
                <c:pt idx="120">
                  <c:v>42848</c:v>
                </c:pt>
                <c:pt idx="121">
                  <c:v>42855</c:v>
                </c:pt>
                <c:pt idx="122">
                  <c:v>42862</c:v>
                </c:pt>
                <c:pt idx="123">
                  <c:v>42869</c:v>
                </c:pt>
                <c:pt idx="124">
                  <c:v>42876</c:v>
                </c:pt>
                <c:pt idx="125">
                  <c:v>42883</c:v>
                </c:pt>
                <c:pt idx="126">
                  <c:v>42890</c:v>
                </c:pt>
                <c:pt idx="127">
                  <c:v>42897</c:v>
                </c:pt>
                <c:pt idx="128">
                  <c:v>42904</c:v>
                </c:pt>
                <c:pt idx="129">
                  <c:v>42911</c:v>
                </c:pt>
                <c:pt idx="130">
                  <c:v>42918</c:v>
                </c:pt>
                <c:pt idx="131">
                  <c:v>42925</c:v>
                </c:pt>
                <c:pt idx="132">
                  <c:v>42932</c:v>
                </c:pt>
                <c:pt idx="133">
                  <c:v>42939</c:v>
                </c:pt>
                <c:pt idx="134">
                  <c:v>42946</c:v>
                </c:pt>
                <c:pt idx="135">
                  <c:v>42953</c:v>
                </c:pt>
                <c:pt idx="136">
                  <c:v>42960</c:v>
                </c:pt>
                <c:pt idx="137">
                  <c:v>42967</c:v>
                </c:pt>
                <c:pt idx="138">
                  <c:v>42974</c:v>
                </c:pt>
                <c:pt idx="139">
                  <c:v>42981</c:v>
                </c:pt>
                <c:pt idx="140">
                  <c:v>42988</c:v>
                </c:pt>
                <c:pt idx="141">
                  <c:v>42995</c:v>
                </c:pt>
                <c:pt idx="142">
                  <c:v>43002</c:v>
                </c:pt>
                <c:pt idx="143">
                  <c:v>43009</c:v>
                </c:pt>
                <c:pt idx="144">
                  <c:v>43016</c:v>
                </c:pt>
                <c:pt idx="145">
                  <c:v>43023</c:v>
                </c:pt>
                <c:pt idx="146">
                  <c:v>43030</c:v>
                </c:pt>
                <c:pt idx="147">
                  <c:v>43037</c:v>
                </c:pt>
                <c:pt idx="148">
                  <c:v>43044</c:v>
                </c:pt>
                <c:pt idx="149">
                  <c:v>43051</c:v>
                </c:pt>
                <c:pt idx="150">
                  <c:v>43058</c:v>
                </c:pt>
                <c:pt idx="151">
                  <c:v>43065</c:v>
                </c:pt>
                <c:pt idx="152">
                  <c:v>43072</c:v>
                </c:pt>
                <c:pt idx="153">
                  <c:v>43079</c:v>
                </c:pt>
                <c:pt idx="154">
                  <c:v>43086</c:v>
                </c:pt>
                <c:pt idx="155">
                  <c:v>43093</c:v>
                </c:pt>
                <c:pt idx="156">
                  <c:v>43100</c:v>
                </c:pt>
                <c:pt idx="157">
                  <c:v>43107</c:v>
                </c:pt>
                <c:pt idx="158">
                  <c:v>43114</c:v>
                </c:pt>
                <c:pt idx="159">
                  <c:v>43121</c:v>
                </c:pt>
                <c:pt idx="160">
                  <c:v>43128</c:v>
                </c:pt>
                <c:pt idx="161">
                  <c:v>43135</c:v>
                </c:pt>
                <c:pt idx="162">
                  <c:v>43142</c:v>
                </c:pt>
                <c:pt idx="163">
                  <c:v>43149</c:v>
                </c:pt>
                <c:pt idx="164">
                  <c:v>43156</c:v>
                </c:pt>
                <c:pt idx="165">
                  <c:v>43163</c:v>
                </c:pt>
                <c:pt idx="166">
                  <c:v>43170</c:v>
                </c:pt>
                <c:pt idx="167">
                  <c:v>43177</c:v>
                </c:pt>
                <c:pt idx="168">
                  <c:v>43184</c:v>
                </c:pt>
                <c:pt idx="169">
                  <c:v>43191</c:v>
                </c:pt>
                <c:pt idx="170">
                  <c:v>43198</c:v>
                </c:pt>
                <c:pt idx="171">
                  <c:v>43205</c:v>
                </c:pt>
                <c:pt idx="172">
                  <c:v>43212</c:v>
                </c:pt>
                <c:pt idx="173">
                  <c:v>43219</c:v>
                </c:pt>
                <c:pt idx="174">
                  <c:v>43226</c:v>
                </c:pt>
                <c:pt idx="175">
                  <c:v>43233</c:v>
                </c:pt>
                <c:pt idx="176">
                  <c:v>43240</c:v>
                </c:pt>
                <c:pt idx="177">
                  <c:v>43247</c:v>
                </c:pt>
                <c:pt idx="178">
                  <c:v>43254</c:v>
                </c:pt>
                <c:pt idx="179">
                  <c:v>43261</c:v>
                </c:pt>
                <c:pt idx="180">
                  <c:v>43268</c:v>
                </c:pt>
                <c:pt idx="181">
                  <c:v>43275</c:v>
                </c:pt>
                <c:pt idx="182">
                  <c:v>43282</c:v>
                </c:pt>
                <c:pt idx="183">
                  <c:v>43289</c:v>
                </c:pt>
                <c:pt idx="184">
                  <c:v>43296</c:v>
                </c:pt>
                <c:pt idx="185">
                  <c:v>43303</c:v>
                </c:pt>
                <c:pt idx="186">
                  <c:v>43310</c:v>
                </c:pt>
                <c:pt idx="187">
                  <c:v>43317</c:v>
                </c:pt>
                <c:pt idx="188">
                  <c:v>43324</c:v>
                </c:pt>
                <c:pt idx="189">
                  <c:v>43331</c:v>
                </c:pt>
                <c:pt idx="190">
                  <c:v>43338</c:v>
                </c:pt>
                <c:pt idx="191">
                  <c:v>43345</c:v>
                </c:pt>
                <c:pt idx="192">
                  <c:v>43352</c:v>
                </c:pt>
                <c:pt idx="193">
                  <c:v>43359</c:v>
                </c:pt>
                <c:pt idx="194">
                  <c:v>43366</c:v>
                </c:pt>
                <c:pt idx="195">
                  <c:v>43373</c:v>
                </c:pt>
                <c:pt idx="196">
                  <c:v>43380</c:v>
                </c:pt>
                <c:pt idx="197">
                  <c:v>43387</c:v>
                </c:pt>
                <c:pt idx="198">
                  <c:v>43394</c:v>
                </c:pt>
                <c:pt idx="199">
                  <c:v>43401</c:v>
                </c:pt>
                <c:pt idx="200">
                  <c:v>43408</c:v>
                </c:pt>
                <c:pt idx="201">
                  <c:v>43415</c:v>
                </c:pt>
                <c:pt idx="202">
                  <c:v>43422</c:v>
                </c:pt>
                <c:pt idx="203">
                  <c:v>43429</c:v>
                </c:pt>
                <c:pt idx="204">
                  <c:v>43436</c:v>
                </c:pt>
                <c:pt idx="205">
                  <c:v>43443</c:v>
                </c:pt>
                <c:pt idx="206">
                  <c:v>43450</c:v>
                </c:pt>
                <c:pt idx="207">
                  <c:v>43457</c:v>
                </c:pt>
                <c:pt idx="208">
                  <c:v>43464</c:v>
                </c:pt>
                <c:pt idx="209">
                  <c:v>43471</c:v>
                </c:pt>
                <c:pt idx="210">
                  <c:v>43478</c:v>
                </c:pt>
                <c:pt idx="211">
                  <c:v>43485</c:v>
                </c:pt>
                <c:pt idx="212">
                  <c:v>43492</c:v>
                </c:pt>
                <c:pt idx="213">
                  <c:v>43499</c:v>
                </c:pt>
                <c:pt idx="214">
                  <c:v>43506</c:v>
                </c:pt>
                <c:pt idx="215">
                  <c:v>43513</c:v>
                </c:pt>
                <c:pt idx="216">
                  <c:v>43520</c:v>
                </c:pt>
                <c:pt idx="217">
                  <c:v>43527</c:v>
                </c:pt>
                <c:pt idx="218">
                  <c:v>43534</c:v>
                </c:pt>
                <c:pt idx="219">
                  <c:v>43541</c:v>
                </c:pt>
                <c:pt idx="220">
                  <c:v>43548</c:v>
                </c:pt>
                <c:pt idx="221">
                  <c:v>43555</c:v>
                </c:pt>
                <c:pt idx="222">
                  <c:v>43562</c:v>
                </c:pt>
                <c:pt idx="223">
                  <c:v>43569</c:v>
                </c:pt>
                <c:pt idx="224">
                  <c:v>43576</c:v>
                </c:pt>
                <c:pt idx="225">
                  <c:v>43583</c:v>
                </c:pt>
                <c:pt idx="226">
                  <c:v>43590</c:v>
                </c:pt>
                <c:pt idx="227">
                  <c:v>43597</c:v>
                </c:pt>
                <c:pt idx="228">
                  <c:v>43604</c:v>
                </c:pt>
                <c:pt idx="229">
                  <c:v>43611</c:v>
                </c:pt>
                <c:pt idx="230">
                  <c:v>43618</c:v>
                </c:pt>
                <c:pt idx="231">
                  <c:v>43625</c:v>
                </c:pt>
                <c:pt idx="232">
                  <c:v>43632</c:v>
                </c:pt>
                <c:pt idx="233">
                  <c:v>43639</c:v>
                </c:pt>
                <c:pt idx="234">
                  <c:v>43646</c:v>
                </c:pt>
                <c:pt idx="235">
                  <c:v>43653</c:v>
                </c:pt>
                <c:pt idx="236">
                  <c:v>43660</c:v>
                </c:pt>
                <c:pt idx="237">
                  <c:v>43667</c:v>
                </c:pt>
                <c:pt idx="238">
                  <c:v>43674</c:v>
                </c:pt>
                <c:pt idx="239">
                  <c:v>43681</c:v>
                </c:pt>
                <c:pt idx="240">
                  <c:v>43688</c:v>
                </c:pt>
                <c:pt idx="241">
                  <c:v>43695</c:v>
                </c:pt>
                <c:pt idx="242">
                  <c:v>43702</c:v>
                </c:pt>
                <c:pt idx="243">
                  <c:v>43709</c:v>
                </c:pt>
                <c:pt idx="244">
                  <c:v>43716</c:v>
                </c:pt>
                <c:pt idx="245">
                  <c:v>43723</c:v>
                </c:pt>
                <c:pt idx="246">
                  <c:v>43730</c:v>
                </c:pt>
                <c:pt idx="247">
                  <c:v>43737</c:v>
                </c:pt>
                <c:pt idx="248">
                  <c:v>43744</c:v>
                </c:pt>
                <c:pt idx="249">
                  <c:v>43751</c:v>
                </c:pt>
                <c:pt idx="250">
                  <c:v>43758</c:v>
                </c:pt>
                <c:pt idx="251">
                  <c:v>43765</c:v>
                </c:pt>
                <c:pt idx="252">
                  <c:v>43772</c:v>
                </c:pt>
                <c:pt idx="253">
                  <c:v>43779</c:v>
                </c:pt>
                <c:pt idx="254">
                  <c:v>43786</c:v>
                </c:pt>
                <c:pt idx="255">
                  <c:v>43793</c:v>
                </c:pt>
                <c:pt idx="256">
                  <c:v>43800</c:v>
                </c:pt>
                <c:pt idx="257">
                  <c:v>43807</c:v>
                </c:pt>
                <c:pt idx="258">
                  <c:v>43814</c:v>
                </c:pt>
                <c:pt idx="259">
                  <c:v>43821</c:v>
                </c:pt>
                <c:pt idx="260">
                  <c:v>43828</c:v>
                </c:pt>
                <c:pt idx="261">
                  <c:v>43835</c:v>
                </c:pt>
                <c:pt idx="262">
                  <c:v>43842</c:v>
                </c:pt>
                <c:pt idx="263">
                  <c:v>43849</c:v>
                </c:pt>
                <c:pt idx="264">
                  <c:v>43856</c:v>
                </c:pt>
                <c:pt idx="265">
                  <c:v>43863</c:v>
                </c:pt>
                <c:pt idx="266">
                  <c:v>43870</c:v>
                </c:pt>
                <c:pt idx="267">
                  <c:v>43877</c:v>
                </c:pt>
                <c:pt idx="268">
                  <c:v>43884</c:v>
                </c:pt>
                <c:pt idx="269">
                  <c:v>43891</c:v>
                </c:pt>
                <c:pt idx="270">
                  <c:v>43898</c:v>
                </c:pt>
                <c:pt idx="271">
                  <c:v>43905</c:v>
                </c:pt>
                <c:pt idx="272">
                  <c:v>43912</c:v>
                </c:pt>
                <c:pt idx="273">
                  <c:v>43919</c:v>
                </c:pt>
              </c:numCache>
            </c:numRef>
          </c:cat>
          <c:val>
            <c:numRef>
              <c:f>'Listed&amp;Price'!$K$19:$K$292</c:f>
              <c:numCache>
                <c:formatCode>General</c:formatCode>
                <c:ptCount val="274"/>
                <c:pt idx="0">
                  <c:v>100</c:v>
                </c:pt>
                <c:pt idx="1">
                  <c:v>99.61</c:v>
                </c:pt>
                <c:pt idx="2">
                  <c:v>99.82</c:v>
                </c:pt>
                <c:pt idx="3">
                  <c:v>99.07</c:v>
                </c:pt>
                <c:pt idx="4">
                  <c:v>99.64</c:v>
                </c:pt>
                <c:pt idx="5">
                  <c:v>99.34</c:v>
                </c:pt>
                <c:pt idx="6">
                  <c:v>99.62</c:v>
                </c:pt>
                <c:pt idx="7">
                  <c:v>99.62</c:v>
                </c:pt>
                <c:pt idx="8">
                  <c:v>99.22</c:v>
                </c:pt>
                <c:pt idx="9">
                  <c:v>99.68</c:v>
                </c:pt>
                <c:pt idx="10">
                  <c:v>99.54</c:v>
                </c:pt>
                <c:pt idx="11">
                  <c:v>100.17</c:v>
                </c:pt>
                <c:pt idx="12">
                  <c:v>99.69</c:v>
                </c:pt>
                <c:pt idx="13">
                  <c:v>99.36</c:v>
                </c:pt>
                <c:pt idx="14">
                  <c:v>99.68</c:v>
                </c:pt>
                <c:pt idx="15">
                  <c:v>99.51</c:v>
                </c:pt>
                <c:pt idx="16">
                  <c:v>99.92</c:v>
                </c:pt>
                <c:pt idx="17">
                  <c:v>99.45</c:v>
                </c:pt>
                <c:pt idx="18">
                  <c:v>99.86</c:v>
                </c:pt>
                <c:pt idx="19">
                  <c:v>100.21</c:v>
                </c:pt>
                <c:pt idx="20">
                  <c:v>100.38</c:v>
                </c:pt>
                <c:pt idx="21">
                  <c:v>100.36</c:v>
                </c:pt>
                <c:pt idx="22">
                  <c:v>99.9</c:v>
                </c:pt>
                <c:pt idx="23">
                  <c:v>100.24</c:v>
                </c:pt>
                <c:pt idx="24">
                  <c:v>100.14</c:v>
                </c:pt>
                <c:pt idx="25">
                  <c:v>100.23</c:v>
                </c:pt>
                <c:pt idx="26">
                  <c:v>99.85</c:v>
                </c:pt>
                <c:pt idx="27">
                  <c:v>99.26</c:v>
                </c:pt>
                <c:pt idx="28">
                  <c:v>98.88</c:v>
                </c:pt>
                <c:pt idx="29">
                  <c:v>98.77</c:v>
                </c:pt>
                <c:pt idx="30">
                  <c:v>98.81</c:v>
                </c:pt>
                <c:pt idx="31">
                  <c:v>98.68</c:v>
                </c:pt>
                <c:pt idx="32">
                  <c:v>98.68</c:v>
                </c:pt>
                <c:pt idx="33">
                  <c:v>98.61</c:v>
                </c:pt>
                <c:pt idx="34">
                  <c:v>98.93</c:v>
                </c:pt>
                <c:pt idx="35">
                  <c:v>98.76</c:v>
                </c:pt>
                <c:pt idx="36">
                  <c:v>98.92</c:v>
                </c:pt>
                <c:pt idx="37">
                  <c:v>99.01</c:v>
                </c:pt>
                <c:pt idx="38">
                  <c:v>98.68</c:v>
                </c:pt>
                <c:pt idx="39">
                  <c:v>98.77</c:v>
                </c:pt>
                <c:pt idx="40">
                  <c:v>98.43</c:v>
                </c:pt>
                <c:pt idx="41">
                  <c:v>98.66</c:v>
                </c:pt>
                <c:pt idx="42">
                  <c:v>98.43</c:v>
                </c:pt>
                <c:pt idx="43">
                  <c:v>98.3</c:v>
                </c:pt>
                <c:pt idx="44">
                  <c:v>97.9</c:v>
                </c:pt>
                <c:pt idx="45">
                  <c:v>98.02</c:v>
                </c:pt>
                <c:pt idx="46">
                  <c:v>97.83</c:v>
                </c:pt>
                <c:pt idx="47">
                  <c:v>97.92</c:v>
                </c:pt>
                <c:pt idx="48">
                  <c:v>98.47</c:v>
                </c:pt>
                <c:pt idx="49">
                  <c:v>98.79</c:v>
                </c:pt>
                <c:pt idx="50">
                  <c:v>98.94</c:v>
                </c:pt>
                <c:pt idx="51">
                  <c:v>98.07</c:v>
                </c:pt>
                <c:pt idx="52">
                  <c:v>97.85</c:v>
                </c:pt>
                <c:pt idx="53">
                  <c:v>97.99</c:v>
                </c:pt>
                <c:pt idx="54">
                  <c:v>97.67</c:v>
                </c:pt>
                <c:pt idx="55">
                  <c:v>97.71</c:v>
                </c:pt>
                <c:pt idx="56">
                  <c:v>97.81</c:v>
                </c:pt>
                <c:pt idx="57">
                  <c:v>97.36</c:v>
                </c:pt>
                <c:pt idx="58">
                  <c:v>97.05</c:v>
                </c:pt>
                <c:pt idx="59">
                  <c:v>97.7</c:v>
                </c:pt>
                <c:pt idx="60">
                  <c:v>98.04</c:v>
                </c:pt>
                <c:pt idx="61">
                  <c:v>98.07</c:v>
                </c:pt>
                <c:pt idx="62">
                  <c:v>99.65</c:v>
                </c:pt>
                <c:pt idx="63">
                  <c:v>97.73</c:v>
                </c:pt>
                <c:pt idx="64">
                  <c:v>97.74</c:v>
                </c:pt>
                <c:pt idx="65">
                  <c:v>97.72</c:v>
                </c:pt>
                <c:pt idx="66">
                  <c:v>100.21</c:v>
                </c:pt>
                <c:pt idx="67">
                  <c:v>100.75</c:v>
                </c:pt>
                <c:pt idx="68">
                  <c:v>98.07</c:v>
                </c:pt>
                <c:pt idx="69">
                  <c:v>98.09</c:v>
                </c:pt>
                <c:pt idx="70">
                  <c:v>98.19</c:v>
                </c:pt>
                <c:pt idx="71">
                  <c:v>98.01</c:v>
                </c:pt>
                <c:pt idx="72">
                  <c:v>97.67</c:v>
                </c:pt>
                <c:pt idx="73">
                  <c:v>98.19</c:v>
                </c:pt>
                <c:pt idx="74">
                  <c:v>100.89</c:v>
                </c:pt>
                <c:pt idx="75">
                  <c:v>101.19</c:v>
                </c:pt>
                <c:pt idx="76">
                  <c:v>101.06</c:v>
                </c:pt>
                <c:pt idx="77">
                  <c:v>101.29</c:v>
                </c:pt>
                <c:pt idx="78">
                  <c:v>100.98</c:v>
                </c:pt>
                <c:pt idx="79">
                  <c:v>101.09</c:v>
                </c:pt>
                <c:pt idx="80">
                  <c:v>100.96</c:v>
                </c:pt>
                <c:pt idx="81">
                  <c:v>101.14</c:v>
                </c:pt>
                <c:pt idx="82">
                  <c:v>99.6</c:v>
                </c:pt>
                <c:pt idx="83">
                  <c:v>98.59</c:v>
                </c:pt>
                <c:pt idx="84">
                  <c:v>98.42</c:v>
                </c:pt>
                <c:pt idx="85">
                  <c:v>97.99</c:v>
                </c:pt>
                <c:pt idx="86">
                  <c:v>98.36</c:v>
                </c:pt>
                <c:pt idx="87">
                  <c:v>98.81</c:v>
                </c:pt>
                <c:pt idx="88">
                  <c:v>98.89</c:v>
                </c:pt>
                <c:pt idx="89">
                  <c:v>99.31</c:v>
                </c:pt>
                <c:pt idx="90">
                  <c:v>98.96</c:v>
                </c:pt>
                <c:pt idx="91">
                  <c:v>99.15</c:v>
                </c:pt>
                <c:pt idx="92">
                  <c:v>99.32</c:v>
                </c:pt>
                <c:pt idx="93">
                  <c:v>99.67</c:v>
                </c:pt>
                <c:pt idx="94">
                  <c:v>99.44</c:v>
                </c:pt>
                <c:pt idx="95">
                  <c:v>99.43</c:v>
                </c:pt>
                <c:pt idx="96">
                  <c:v>99.78</c:v>
                </c:pt>
                <c:pt idx="97">
                  <c:v>99.88</c:v>
                </c:pt>
                <c:pt idx="98">
                  <c:v>99.98</c:v>
                </c:pt>
                <c:pt idx="99">
                  <c:v>100.21</c:v>
                </c:pt>
                <c:pt idx="100">
                  <c:v>100.13</c:v>
                </c:pt>
                <c:pt idx="101">
                  <c:v>100.04</c:v>
                </c:pt>
                <c:pt idx="102">
                  <c:v>99.9</c:v>
                </c:pt>
                <c:pt idx="103">
                  <c:v>100.31</c:v>
                </c:pt>
                <c:pt idx="104">
                  <c:v>100.68</c:v>
                </c:pt>
                <c:pt idx="105">
                  <c:v>100.56</c:v>
                </c:pt>
                <c:pt idx="106">
                  <c:v>100.95</c:v>
                </c:pt>
                <c:pt idx="107">
                  <c:v>100.84</c:v>
                </c:pt>
                <c:pt idx="108">
                  <c:v>100.89</c:v>
                </c:pt>
                <c:pt idx="109">
                  <c:v>100.68</c:v>
                </c:pt>
                <c:pt idx="110">
                  <c:v>101.09</c:v>
                </c:pt>
                <c:pt idx="111">
                  <c:v>101.9</c:v>
                </c:pt>
                <c:pt idx="112">
                  <c:v>102.34</c:v>
                </c:pt>
                <c:pt idx="113">
                  <c:v>102.81</c:v>
                </c:pt>
                <c:pt idx="114">
                  <c:v>103.42</c:v>
                </c:pt>
                <c:pt idx="115">
                  <c:v>103.86</c:v>
                </c:pt>
                <c:pt idx="116">
                  <c:v>104.37</c:v>
                </c:pt>
                <c:pt idx="117">
                  <c:v>104.75</c:v>
                </c:pt>
                <c:pt idx="118">
                  <c:v>105.31</c:v>
                </c:pt>
                <c:pt idx="119">
                  <c:v>106.22</c:v>
                </c:pt>
                <c:pt idx="120">
                  <c:v>108.44</c:v>
                </c:pt>
                <c:pt idx="121">
                  <c:v>107.76</c:v>
                </c:pt>
                <c:pt idx="122">
                  <c:v>107.71</c:v>
                </c:pt>
                <c:pt idx="123">
                  <c:v>108.46</c:v>
                </c:pt>
                <c:pt idx="124">
                  <c:v>108.86</c:v>
                </c:pt>
                <c:pt idx="125">
                  <c:v>110.05</c:v>
                </c:pt>
                <c:pt idx="126">
                  <c:v>109.88</c:v>
                </c:pt>
                <c:pt idx="127">
                  <c:v>111.43</c:v>
                </c:pt>
                <c:pt idx="128">
                  <c:v>110.71</c:v>
                </c:pt>
                <c:pt idx="129">
                  <c:v>112.59</c:v>
                </c:pt>
                <c:pt idx="130">
                  <c:v>111.34</c:v>
                </c:pt>
                <c:pt idx="131">
                  <c:v>112.86</c:v>
                </c:pt>
                <c:pt idx="132">
                  <c:v>111.63</c:v>
                </c:pt>
                <c:pt idx="133">
                  <c:v>111.89</c:v>
                </c:pt>
                <c:pt idx="134">
                  <c:v>113.1</c:v>
                </c:pt>
                <c:pt idx="135">
                  <c:v>113.03</c:v>
                </c:pt>
                <c:pt idx="136">
                  <c:v>114.26</c:v>
                </c:pt>
                <c:pt idx="137">
                  <c:v>113.06</c:v>
                </c:pt>
                <c:pt idx="138">
                  <c:v>113.57</c:v>
                </c:pt>
                <c:pt idx="139">
                  <c:v>113.81</c:v>
                </c:pt>
                <c:pt idx="140">
                  <c:v>114.86</c:v>
                </c:pt>
                <c:pt idx="141">
                  <c:v>115.19</c:v>
                </c:pt>
                <c:pt idx="142">
                  <c:v>114.74</c:v>
                </c:pt>
                <c:pt idx="143">
                  <c:v>115.77</c:v>
                </c:pt>
                <c:pt idx="144">
                  <c:v>116.56</c:v>
                </c:pt>
                <c:pt idx="145">
                  <c:v>116.17</c:v>
                </c:pt>
                <c:pt idx="146">
                  <c:v>115.58</c:v>
                </c:pt>
                <c:pt idx="147">
                  <c:v>116.53</c:v>
                </c:pt>
                <c:pt idx="148">
                  <c:v>117.45</c:v>
                </c:pt>
                <c:pt idx="149">
                  <c:v>118.08</c:v>
                </c:pt>
                <c:pt idx="150">
                  <c:v>118.28</c:v>
                </c:pt>
                <c:pt idx="151">
                  <c:v>117.02</c:v>
                </c:pt>
                <c:pt idx="152">
                  <c:v>118.63</c:v>
                </c:pt>
                <c:pt idx="153">
                  <c:v>119.04</c:v>
                </c:pt>
                <c:pt idx="154">
                  <c:v>119.19</c:v>
                </c:pt>
                <c:pt idx="155">
                  <c:v>119.47</c:v>
                </c:pt>
                <c:pt idx="156">
                  <c:v>120.19</c:v>
                </c:pt>
                <c:pt idx="157">
                  <c:v>119.67</c:v>
                </c:pt>
                <c:pt idx="158">
                  <c:v>120.07</c:v>
                </c:pt>
                <c:pt idx="159">
                  <c:v>119.34</c:v>
                </c:pt>
                <c:pt idx="160">
                  <c:v>120.79</c:v>
                </c:pt>
                <c:pt idx="161">
                  <c:v>120.57</c:v>
                </c:pt>
                <c:pt idx="162">
                  <c:v>120.75</c:v>
                </c:pt>
                <c:pt idx="163">
                  <c:v>120.15</c:v>
                </c:pt>
                <c:pt idx="164">
                  <c:v>121.68</c:v>
                </c:pt>
                <c:pt idx="165">
                  <c:v>122.29</c:v>
                </c:pt>
                <c:pt idx="166">
                  <c:v>122.69</c:v>
                </c:pt>
                <c:pt idx="167">
                  <c:v>122.66</c:v>
                </c:pt>
                <c:pt idx="168">
                  <c:v>123.86</c:v>
                </c:pt>
                <c:pt idx="169">
                  <c:v>126.13</c:v>
                </c:pt>
                <c:pt idx="170">
                  <c:v>125.68</c:v>
                </c:pt>
                <c:pt idx="171">
                  <c:v>126.19</c:v>
                </c:pt>
                <c:pt idx="172">
                  <c:v>126.81</c:v>
                </c:pt>
                <c:pt idx="173">
                  <c:v>127.58</c:v>
                </c:pt>
                <c:pt idx="174">
                  <c:v>127.73</c:v>
                </c:pt>
                <c:pt idx="175">
                  <c:v>128.56</c:v>
                </c:pt>
                <c:pt idx="176">
                  <c:v>129.35</c:v>
                </c:pt>
                <c:pt idx="177">
                  <c:v>130.22999999999999</c:v>
                </c:pt>
                <c:pt idx="178">
                  <c:v>130.71</c:v>
                </c:pt>
                <c:pt idx="179">
                  <c:v>129.35</c:v>
                </c:pt>
                <c:pt idx="180">
                  <c:v>131.09</c:v>
                </c:pt>
                <c:pt idx="181">
                  <c:v>130.93</c:v>
                </c:pt>
                <c:pt idx="182">
                  <c:v>132.66999999999999</c:v>
                </c:pt>
                <c:pt idx="183">
                  <c:v>132.53</c:v>
                </c:pt>
                <c:pt idx="184">
                  <c:v>132.86000000000001</c:v>
                </c:pt>
                <c:pt idx="185">
                  <c:v>133.62</c:v>
                </c:pt>
                <c:pt idx="186">
                  <c:v>133.38999999999999</c:v>
                </c:pt>
                <c:pt idx="187">
                  <c:v>133.91999999999999</c:v>
                </c:pt>
                <c:pt idx="188">
                  <c:v>134.09</c:v>
                </c:pt>
                <c:pt idx="189">
                  <c:v>134.96</c:v>
                </c:pt>
                <c:pt idx="190">
                  <c:v>134.69</c:v>
                </c:pt>
                <c:pt idx="191">
                  <c:v>134.93</c:v>
                </c:pt>
                <c:pt idx="192">
                  <c:v>134.99</c:v>
                </c:pt>
                <c:pt idx="193">
                  <c:v>134.26</c:v>
                </c:pt>
                <c:pt idx="194">
                  <c:v>134.47</c:v>
                </c:pt>
                <c:pt idx="195">
                  <c:v>135.94</c:v>
                </c:pt>
                <c:pt idx="196">
                  <c:v>135.91999999999999</c:v>
                </c:pt>
                <c:pt idx="197">
                  <c:v>135.21</c:v>
                </c:pt>
                <c:pt idx="198">
                  <c:v>135.66999999999999</c:v>
                </c:pt>
                <c:pt idx="199">
                  <c:v>135.63999999999999</c:v>
                </c:pt>
                <c:pt idx="200">
                  <c:v>135.30000000000001</c:v>
                </c:pt>
                <c:pt idx="201">
                  <c:v>134.91999999999999</c:v>
                </c:pt>
                <c:pt idx="202">
                  <c:v>134.80000000000001</c:v>
                </c:pt>
                <c:pt idx="203">
                  <c:v>135.97999999999999</c:v>
                </c:pt>
                <c:pt idx="204">
                  <c:v>136.11000000000001</c:v>
                </c:pt>
                <c:pt idx="205">
                  <c:v>135.71</c:v>
                </c:pt>
                <c:pt idx="206">
                  <c:v>135.62</c:v>
                </c:pt>
                <c:pt idx="207">
                  <c:v>134.97999999999999</c:v>
                </c:pt>
                <c:pt idx="208">
                  <c:v>134.87</c:v>
                </c:pt>
                <c:pt idx="209">
                  <c:v>134.97</c:v>
                </c:pt>
                <c:pt idx="210">
                  <c:v>134.93</c:v>
                </c:pt>
                <c:pt idx="211">
                  <c:v>135</c:v>
                </c:pt>
                <c:pt idx="212">
                  <c:v>135.36000000000001</c:v>
                </c:pt>
                <c:pt idx="213">
                  <c:v>135.32</c:v>
                </c:pt>
                <c:pt idx="214">
                  <c:v>134.03</c:v>
                </c:pt>
                <c:pt idx="215">
                  <c:v>135.18</c:v>
                </c:pt>
                <c:pt idx="216">
                  <c:v>135.16</c:v>
                </c:pt>
                <c:pt idx="217">
                  <c:v>135.15</c:v>
                </c:pt>
                <c:pt idx="218">
                  <c:v>135.44999999999999</c:v>
                </c:pt>
                <c:pt idx="219">
                  <c:v>135.47</c:v>
                </c:pt>
                <c:pt idx="220">
                  <c:v>135.55000000000001</c:v>
                </c:pt>
                <c:pt idx="221">
                  <c:v>135.81</c:v>
                </c:pt>
                <c:pt idx="222">
                  <c:v>135.94</c:v>
                </c:pt>
                <c:pt idx="223">
                  <c:v>136.15</c:v>
                </c:pt>
                <c:pt idx="224">
                  <c:v>136.28</c:v>
                </c:pt>
                <c:pt idx="225">
                  <c:v>136.28</c:v>
                </c:pt>
                <c:pt idx="226">
                  <c:v>136.44</c:v>
                </c:pt>
                <c:pt idx="227">
                  <c:v>136.38999999999999</c:v>
                </c:pt>
                <c:pt idx="228">
                  <c:v>136.32</c:v>
                </c:pt>
                <c:pt idx="229">
                  <c:v>136.04</c:v>
                </c:pt>
                <c:pt idx="230">
                  <c:v>136.88999999999999</c:v>
                </c:pt>
                <c:pt idx="231">
                  <c:v>136.76</c:v>
                </c:pt>
                <c:pt idx="232">
                  <c:v>136.84</c:v>
                </c:pt>
                <c:pt idx="233">
                  <c:v>136.5</c:v>
                </c:pt>
                <c:pt idx="234">
                  <c:v>136.44</c:v>
                </c:pt>
                <c:pt idx="235">
                  <c:v>136.81</c:v>
                </c:pt>
                <c:pt idx="236">
                  <c:v>136.97999999999999</c:v>
                </c:pt>
                <c:pt idx="237">
                  <c:v>137.16</c:v>
                </c:pt>
                <c:pt idx="238">
                  <c:v>137.44999999999999</c:v>
                </c:pt>
                <c:pt idx="239">
                  <c:v>137.43</c:v>
                </c:pt>
                <c:pt idx="240">
                  <c:v>136.99</c:v>
                </c:pt>
                <c:pt idx="241">
                  <c:v>137.08000000000001</c:v>
                </c:pt>
                <c:pt idx="242">
                  <c:v>137.36000000000001</c:v>
                </c:pt>
                <c:pt idx="243">
                  <c:v>137.65</c:v>
                </c:pt>
                <c:pt idx="244">
                  <c:v>137.94</c:v>
                </c:pt>
                <c:pt idx="245">
                  <c:v>137.91</c:v>
                </c:pt>
                <c:pt idx="246">
                  <c:v>137.75</c:v>
                </c:pt>
                <c:pt idx="247">
                  <c:v>137.66</c:v>
                </c:pt>
                <c:pt idx="248">
                  <c:v>137.68</c:v>
                </c:pt>
                <c:pt idx="249">
                  <c:v>137.87</c:v>
                </c:pt>
                <c:pt idx="250">
                  <c:v>137.74</c:v>
                </c:pt>
                <c:pt idx="251">
                  <c:v>137.69</c:v>
                </c:pt>
                <c:pt idx="252">
                  <c:v>137.74</c:v>
                </c:pt>
                <c:pt idx="253">
                  <c:v>137.74</c:v>
                </c:pt>
                <c:pt idx="254">
                  <c:v>137.81</c:v>
                </c:pt>
                <c:pt idx="255">
                  <c:v>137.44999999999999</c:v>
                </c:pt>
                <c:pt idx="256">
                  <c:v>137.83000000000001</c:v>
                </c:pt>
                <c:pt idx="257">
                  <c:v>138.66999999999999</c:v>
                </c:pt>
                <c:pt idx="258">
                  <c:v>138.62</c:v>
                </c:pt>
                <c:pt idx="259">
                  <c:v>138.53</c:v>
                </c:pt>
                <c:pt idx="260">
                  <c:v>138.53</c:v>
                </c:pt>
                <c:pt idx="261">
                  <c:v>138.69</c:v>
                </c:pt>
                <c:pt idx="262">
                  <c:v>138.71</c:v>
                </c:pt>
                <c:pt idx="263">
                  <c:v>138.77000000000001</c:v>
                </c:pt>
                <c:pt idx="264">
                  <c:v>138.69</c:v>
                </c:pt>
                <c:pt idx="265">
                  <c:v>138.72999999999999</c:v>
                </c:pt>
                <c:pt idx="266">
                  <c:v>138.84</c:v>
                </c:pt>
                <c:pt idx="267">
                  <c:v>138.85</c:v>
                </c:pt>
                <c:pt idx="268">
                  <c:v>138.91999999999999</c:v>
                </c:pt>
                <c:pt idx="269">
                  <c:v>138.80000000000001</c:v>
                </c:pt>
                <c:pt idx="270">
                  <c:v>139.1</c:v>
                </c:pt>
                <c:pt idx="271">
                  <c:v>139.03</c:v>
                </c:pt>
                <c:pt idx="272">
                  <c:v>138.79</c:v>
                </c:pt>
                <c:pt idx="273">
                  <c:v>138.85</c:v>
                </c:pt>
              </c:numCache>
            </c:numRef>
          </c:val>
          <c:smooth val="1"/>
          <c:extLst>
            <c:ext xmlns:c16="http://schemas.microsoft.com/office/drawing/2014/chart" uri="{C3380CC4-5D6E-409C-BE32-E72D297353CC}">
              <c16:uniqueId val="{00000001-D210-4192-BAB3-F34E1B0F4333}"/>
            </c:ext>
          </c:extLst>
        </c:ser>
        <c:dLbls>
          <c:showLegendKey val="0"/>
          <c:showVal val="0"/>
          <c:showCatName val="0"/>
          <c:showSerName val="0"/>
          <c:showPercent val="0"/>
          <c:showBubbleSize val="0"/>
        </c:dLbls>
        <c:marker val="1"/>
        <c:smooth val="0"/>
        <c:axId val="-2022692928"/>
        <c:axId val="-2022687488"/>
      </c:lineChart>
      <c:dateAx>
        <c:axId val="-2022698912"/>
        <c:scaling>
          <c:orientation val="minMax"/>
        </c:scaling>
        <c:delete val="0"/>
        <c:axPos val="b"/>
        <c:numFmt formatCode="yyyy/mm"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94016"/>
        <c:crosses val="autoZero"/>
        <c:auto val="1"/>
        <c:lblOffset val="100"/>
        <c:baseTimeUnit val="days"/>
      </c:dateAx>
      <c:valAx>
        <c:axId val="-2022694016"/>
        <c:scaling>
          <c:orientation val="minMax"/>
        </c:scaling>
        <c:delete val="0"/>
        <c:axPos val="l"/>
        <c:numFmt formatCode="General" sourceLinked="1"/>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98912"/>
        <c:crosses val="autoZero"/>
        <c:crossBetween val="between"/>
      </c:valAx>
      <c:valAx>
        <c:axId val="-2022687488"/>
        <c:scaling>
          <c:orientation val="minMax"/>
        </c:scaling>
        <c:delete val="0"/>
        <c:axPos val="r"/>
        <c:numFmt formatCode="General" sourceLinked="1"/>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92928"/>
        <c:crosses val="max"/>
        <c:crossBetween val="between"/>
      </c:valAx>
      <c:dateAx>
        <c:axId val="-2022692928"/>
        <c:scaling>
          <c:orientation val="minMax"/>
        </c:scaling>
        <c:delete val="1"/>
        <c:axPos val="b"/>
        <c:numFmt formatCode="m/d/yyyy" sourceLinked="1"/>
        <c:majorTickMark val="out"/>
        <c:minorTickMark val="none"/>
        <c:tickLblPos val="nextTo"/>
        <c:crossAx val="-2022687488"/>
        <c:crosses val="autoZero"/>
        <c:auto val="1"/>
        <c:lblOffset val="100"/>
        <c:baseTimeUnit val="days"/>
      </c:dateAx>
      <c:spPr>
        <a:noFill/>
        <a:ln w="25400">
          <a:noFill/>
        </a:ln>
        <a:effectLst/>
      </c:spPr>
    </c:plotArea>
    <c:legend>
      <c:legendPos val="b"/>
      <c:layout>
        <c:manualLayout>
          <c:xMode val="edge"/>
          <c:yMode val="edge"/>
          <c:x val="0.10897763905637921"/>
          <c:y val="1.4793605344786448E-3"/>
          <c:w val="0.6819443065112355"/>
          <c:h val="0.18568641486659088"/>
        </c:manualLayout>
      </c:layout>
      <c:overlay val="0"/>
      <c:spPr>
        <a:noFill/>
        <a:ln w="25400">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legend>
    <c:plotVisOnly val="1"/>
    <c:dispBlanksAs val="gap"/>
    <c:showDLblsOverMax val="0"/>
  </c:chart>
  <c:spPr>
    <a:solidFill>
      <a:srgbClr val="FFFFFF"/>
    </a:solidFill>
    <a:ln w="25400" cap="flat" cmpd="sng" algn="ctr">
      <a:noFill/>
      <a:round/>
    </a:ln>
    <a:effectLst/>
  </c:spPr>
  <c:txPr>
    <a:bodyPr/>
    <a:lstStyle/>
    <a:p>
      <a:pPr>
        <a:defRPr sz="800" baseline="0">
          <a:solidFill>
            <a:schemeClr val="tx1"/>
          </a:solidFill>
          <a:latin typeface="Times New Roman" panose="02020603050405020304" pitchFamily="18" charset="0"/>
          <a:ea typeface="楷体" panose="02010609060101010101" pitchFamily="49" charset="-122"/>
          <a:cs typeface="华文细黑"/>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531824468948255"/>
          <c:y val="2.7277160493827154E-2"/>
          <c:w val="0.62449522072743846"/>
          <c:h val="0.89776450617283954"/>
        </c:manualLayout>
      </c:layout>
      <c:barChart>
        <c:barDir val="bar"/>
        <c:grouping val="clustered"/>
        <c:varyColors val="0"/>
        <c:ser>
          <c:idx val="0"/>
          <c:order val="0"/>
          <c:tx>
            <c:strRef>
              <c:f>Stock!$Q$2</c:f>
              <c:strCache>
                <c:ptCount val="1"/>
                <c:pt idx="0">
                  <c:v>Price Change(YTD)</c:v>
                </c:pt>
              </c:strCache>
            </c:strRef>
          </c:tx>
          <c:spPr>
            <a:solidFill>
              <a:srgbClr val="C00000"/>
            </a:solidFill>
            <a:ln>
              <a:solidFill>
                <a:srgbClr val="C00000"/>
              </a:solidFill>
              <a:prstDash val="solid"/>
            </a:ln>
            <a:effectLst/>
          </c:spPr>
          <c:invertIfNegative val="0"/>
          <c:cat>
            <c:strRef>
              <c:f>Stock!$P$49:$P$68</c:f>
              <c:strCache>
                <c:ptCount val="20"/>
                <c:pt idx="0">
                  <c:v>PowerLong</c:v>
                </c:pt>
                <c:pt idx="1">
                  <c:v>Logan</c:v>
                </c:pt>
                <c:pt idx="2">
                  <c:v>Modern Land</c:v>
                </c:pt>
                <c:pt idx="3">
                  <c:v>Shimao</c:v>
                </c:pt>
                <c:pt idx="4">
                  <c:v>Zhongliang</c:v>
                </c:pt>
                <c:pt idx="5">
                  <c:v>REDCO</c:v>
                </c:pt>
                <c:pt idx="6">
                  <c:v>Fantasia</c:v>
                </c:pt>
                <c:pt idx="7">
                  <c:v>RedSun</c:v>
                </c:pt>
                <c:pt idx="8">
                  <c:v>Dexin</c:v>
                </c:pt>
                <c:pt idx="9">
                  <c:v>Sunshine 100</c:v>
                </c:pt>
                <c:pt idx="10">
                  <c:v>LandSea</c:v>
                </c:pt>
                <c:pt idx="11">
                  <c:v>CC Land</c:v>
                </c:pt>
                <c:pt idx="12">
                  <c:v>Zhongan</c:v>
                </c:pt>
                <c:pt idx="13">
                  <c:v>Fu Shou Yuan</c:v>
                </c:pt>
                <c:pt idx="14">
                  <c:v>KWG</c:v>
                </c:pt>
                <c:pt idx="15">
                  <c:v>CM Land</c:v>
                </c:pt>
                <c:pt idx="16">
                  <c:v>Longfor</c:v>
                </c:pt>
                <c:pt idx="17">
                  <c:v>Yincheng</c:v>
                </c:pt>
                <c:pt idx="18">
                  <c:v>C&amp;D INTL</c:v>
                </c:pt>
                <c:pt idx="19">
                  <c:v>SOHO</c:v>
                </c:pt>
              </c:strCache>
            </c:strRef>
          </c:cat>
          <c:val>
            <c:numRef>
              <c:f>Stock!$Q$49:$Q$68</c:f>
              <c:numCache>
                <c:formatCode>0.00%</c:formatCode>
                <c:ptCount val="20"/>
                <c:pt idx="0">
                  <c:v>-0.12884615384615383</c:v>
                </c:pt>
                <c:pt idx="1">
                  <c:v>-9.3272171253822811E-2</c:v>
                </c:pt>
                <c:pt idx="2">
                  <c:v>-9.3220338983050835E-2</c:v>
                </c:pt>
                <c:pt idx="3">
                  <c:v>-7.4503311258278138E-2</c:v>
                </c:pt>
                <c:pt idx="4">
                  <c:v>-6.4620355411954766E-2</c:v>
                </c:pt>
                <c:pt idx="5">
                  <c:v>-5.5263157894736903E-2</c:v>
                </c:pt>
                <c:pt idx="6">
                  <c:v>-3.4482758620689724E-2</c:v>
                </c:pt>
                <c:pt idx="7">
                  <c:v>-3.1007751937984551E-2</c:v>
                </c:pt>
                <c:pt idx="8">
                  <c:v>-2.8301886792452935E-2</c:v>
                </c:pt>
                <c:pt idx="9">
                  <c:v>-2.7972027972027913E-2</c:v>
                </c:pt>
                <c:pt idx="10">
                  <c:v>-2.4096385542168641E-2</c:v>
                </c:pt>
                <c:pt idx="11">
                  <c:v>-1.6759776536312887E-2</c:v>
                </c:pt>
                <c:pt idx="12">
                  <c:v>-1.2658227848101E-2</c:v>
                </c:pt>
                <c:pt idx="13">
                  <c:v>7.5757575757577911E-3</c:v>
                </c:pt>
                <c:pt idx="14">
                  <c:v>3.1135531135531025E-2</c:v>
                </c:pt>
                <c:pt idx="15">
                  <c:v>4.0983606557376984E-2</c:v>
                </c:pt>
                <c:pt idx="16">
                  <c:v>4.1095890410958846E-2</c:v>
                </c:pt>
                <c:pt idx="17">
                  <c:v>8.5836909871244593E-2</c:v>
                </c:pt>
                <c:pt idx="18">
                  <c:v>0.14634146341463428</c:v>
                </c:pt>
                <c:pt idx="19">
                  <c:v>0.32653061224489788</c:v>
                </c:pt>
              </c:numCache>
            </c:numRef>
          </c:val>
          <c:extLst>
            <c:ext xmlns:c16="http://schemas.microsoft.com/office/drawing/2014/chart" uri="{C3380CC4-5D6E-409C-BE32-E72D297353CC}">
              <c16:uniqueId val="{00000000-AB6E-4781-A48C-94FE3B8E24CE}"/>
            </c:ext>
          </c:extLst>
        </c:ser>
        <c:dLbls>
          <c:showLegendKey val="0"/>
          <c:showVal val="0"/>
          <c:showCatName val="0"/>
          <c:showSerName val="0"/>
          <c:showPercent val="0"/>
          <c:showBubbleSize val="0"/>
        </c:dLbls>
        <c:gapWidth val="182"/>
        <c:axId val="-93581296"/>
        <c:axId val="-93580752"/>
      </c:barChart>
      <c:catAx>
        <c:axId val="-93581296"/>
        <c:scaling>
          <c:orientation val="minMax"/>
        </c:scaling>
        <c:delete val="0"/>
        <c:axPos val="l"/>
        <c:numFmt formatCode="General" sourceLinked="1"/>
        <c:majorTickMark val="none"/>
        <c:minorTickMark val="none"/>
        <c:tickLblPos val="low"/>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80752"/>
        <c:crosses val="autoZero"/>
        <c:auto val="1"/>
        <c:lblAlgn val="ctr"/>
        <c:lblOffset val="100"/>
        <c:noMultiLvlLbl val="0"/>
      </c:catAx>
      <c:valAx>
        <c:axId val="-93580752"/>
        <c:scaling>
          <c:orientation val="minMax"/>
        </c:scaling>
        <c:delete val="0"/>
        <c:axPos val="b"/>
        <c:numFmt formatCode="0%" sourceLinked="0"/>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81296"/>
        <c:crosses val="autoZero"/>
        <c:crossBetween val="between"/>
      </c:valAx>
      <c:spPr>
        <a:noFill/>
        <a:ln w="25400">
          <a:noFill/>
        </a:ln>
        <a:effectLst/>
      </c:spPr>
    </c:plotArea>
    <c:legend>
      <c:legendPos val="b"/>
      <c:layout>
        <c:manualLayout>
          <c:xMode val="edge"/>
          <c:yMode val="edge"/>
          <c:x val="0.64477139081854207"/>
          <c:y val="0.83234722222222224"/>
          <c:w val="0.34889724370039332"/>
          <c:h val="5.7899691358024689E-2"/>
        </c:manualLayout>
      </c:layout>
      <c:overlay val="0"/>
      <c:spPr>
        <a:noFill/>
        <a:ln w="25400">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legend>
    <c:plotVisOnly val="1"/>
    <c:dispBlanksAs val="gap"/>
    <c:showDLblsOverMax val="0"/>
  </c:chart>
  <c:spPr>
    <a:solidFill>
      <a:srgbClr val="FFFFFF"/>
    </a:solidFill>
    <a:ln w="25400" cap="flat" cmpd="sng" algn="ctr">
      <a:noFill/>
      <a:round/>
    </a:ln>
    <a:effectLst/>
  </c:spPr>
  <c:txPr>
    <a:bodyPr/>
    <a:lstStyle/>
    <a:p>
      <a:pPr>
        <a:defRPr sz="800" baseline="0">
          <a:solidFill>
            <a:schemeClr val="tx1"/>
          </a:solidFill>
          <a:latin typeface="Times New Roman" panose="02020603050405020304" pitchFamily="18" charset="0"/>
          <a:ea typeface="楷体" panose="02010609060101010101" pitchFamily="49" charset="-122"/>
          <a:cs typeface="华文细黑"/>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581497797356811E-2"/>
          <c:y val="5.3671881323204648E-2"/>
          <c:w val="0.89477863725184137"/>
          <c:h val="0.45125718316047497"/>
        </c:manualLayout>
      </c:layout>
      <c:barChart>
        <c:barDir val="col"/>
        <c:grouping val="clustered"/>
        <c:varyColors val="0"/>
        <c:ser>
          <c:idx val="0"/>
          <c:order val="0"/>
          <c:tx>
            <c:strRef>
              <c:f>Stock!$C$81</c:f>
              <c:strCache>
                <c:ptCount val="1"/>
                <c:pt idx="0">
                  <c:v>Turnover(Weekly)</c:v>
                </c:pt>
              </c:strCache>
            </c:strRef>
          </c:tx>
          <c:spPr>
            <a:solidFill>
              <a:srgbClr val="C00000"/>
            </a:solidFill>
            <a:ln>
              <a:solidFill>
                <a:srgbClr val="C00000">
                  <a:alpha val="93000"/>
                </a:srgbClr>
              </a:solidFill>
              <a:prstDash val="solid"/>
            </a:ln>
            <a:effectLst/>
          </c:spPr>
          <c:invertIfNegative val="0"/>
          <c:cat>
            <c:strRef>
              <c:f>Stock!$B$82:$B$95</c:f>
              <c:strCache>
                <c:ptCount val="14"/>
                <c:pt idx="0">
                  <c:v>R&amp;F</c:v>
                </c:pt>
                <c:pt idx="1">
                  <c:v>BJ Capital Land</c:v>
                </c:pt>
                <c:pt idx="2">
                  <c:v>Vanke-H</c:v>
                </c:pt>
                <c:pt idx="3">
                  <c:v>Sunac</c:v>
                </c:pt>
                <c:pt idx="4">
                  <c:v>Aoyuan</c:v>
                </c:pt>
                <c:pt idx="5">
                  <c:v>RedSun</c:v>
                </c:pt>
                <c:pt idx="6">
                  <c:v>SOHO</c:v>
                </c:pt>
                <c:pt idx="7">
                  <c:v>GreenTown</c:v>
                </c:pt>
                <c:pt idx="8">
                  <c:v>CIFI</c:v>
                </c:pt>
                <c:pt idx="9">
                  <c:v>Future Land</c:v>
                </c:pt>
                <c:pt idx="10">
                  <c:v>China SCE</c:v>
                </c:pt>
                <c:pt idx="11">
                  <c:v>Kaisa</c:v>
                </c:pt>
                <c:pt idx="12">
                  <c:v>KWG</c:v>
                </c:pt>
                <c:pt idx="13">
                  <c:v>Shimao</c:v>
                </c:pt>
              </c:strCache>
            </c:strRef>
          </c:cat>
          <c:val>
            <c:numRef>
              <c:f>Stock!$C$82:$C$95</c:f>
              <c:numCache>
                <c:formatCode>0.00%</c:formatCode>
                <c:ptCount val="14"/>
                <c:pt idx="0">
                  <c:v>3.6981925365283858E-2</c:v>
                </c:pt>
                <c:pt idx="1">
                  <c:v>3.030765302057168E-2</c:v>
                </c:pt>
                <c:pt idx="2">
                  <c:v>2.5363386408619286E-2</c:v>
                </c:pt>
                <c:pt idx="3">
                  <c:v>2.4940654049316183E-2</c:v>
                </c:pt>
                <c:pt idx="4">
                  <c:v>2.0493747821486111E-2</c:v>
                </c:pt>
                <c:pt idx="5">
                  <c:v>1.9571987951807233E-2</c:v>
                </c:pt>
                <c:pt idx="6">
                  <c:v>1.9472032900774566E-2</c:v>
                </c:pt>
                <c:pt idx="7">
                  <c:v>1.8716565531596074E-2</c:v>
                </c:pt>
                <c:pt idx="8">
                  <c:v>1.8532166468092484E-2</c:v>
                </c:pt>
                <c:pt idx="9">
                  <c:v>1.6178340418679549E-2</c:v>
                </c:pt>
                <c:pt idx="10">
                  <c:v>1.592929539707794E-2</c:v>
                </c:pt>
                <c:pt idx="11">
                  <c:v>1.5677477229143932E-2</c:v>
                </c:pt>
                <c:pt idx="12">
                  <c:v>1.5220765931707346E-2</c:v>
                </c:pt>
                <c:pt idx="13">
                  <c:v>1.3195462421026849E-2</c:v>
                </c:pt>
              </c:numCache>
            </c:numRef>
          </c:val>
          <c:extLst>
            <c:ext xmlns:c16="http://schemas.microsoft.com/office/drawing/2014/chart" uri="{C3380CC4-5D6E-409C-BE32-E72D297353CC}">
              <c16:uniqueId val="{00000000-3597-4077-88AD-27D06E102C8B}"/>
            </c:ext>
          </c:extLst>
        </c:ser>
        <c:dLbls>
          <c:showLegendKey val="0"/>
          <c:showVal val="0"/>
          <c:showCatName val="0"/>
          <c:showSerName val="0"/>
          <c:showPercent val="0"/>
          <c:showBubbleSize val="0"/>
        </c:dLbls>
        <c:gapWidth val="219"/>
        <c:overlap val="-27"/>
        <c:axId val="-93579120"/>
        <c:axId val="-93578576"/>
      </c:barChart>
      <c:catAx>
        <c:axId val="-93579120"/>
        <c:scaling>
          <c:orientation val="minMax"/>
        </c:scaling>
        <c:delete val="0"/>
        <c:axPos val="b"/>
        <c:numFmt formatCode="General" sourceLinked="1"/>
        <c:majorTickMark val="out"/>
        <c:minorTickMark val="none"/>
        <c:tickLblPos val="nextTo"/>
        <c:spPr>
          <a:noFill/>
          <a:ln w="6350" cap="flat" cmpd="sng" algn="ctr">
            <a:solidFill>
              <a:schemeClr val="tx1"/>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78576"/>
        <c:crosses val="autoZero"/>
        <c:auto val="1"/>
        <c:lblAlgn val="ctr"/>
        <c:lblOffset val="100"/>
        <c:noMultiLvlLbl val="0"/>
      </c:catAx>
      <c:valAx>
        <c:axId val="-93578576"/>
        <c:scaling>
          <c:orientation val="minMax"/>
        </c:scaling>
        <c:delete val="0"/>
        <c:axPos val="l"/>
        <c:numFmt formatCode="0%" sourceLinked="0"/>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79120"/>
        <c:crosses val="autoZero"/>
        <c:crossBetween val="between"/>
        <c:majorUnit val="3.0000000000000006E-2"/>
      </c:valAx>
      <c:spPr>
        <a:noFill/>
        <a:ln w="25400">
          <a:noFill/>
        </a:ln>
        <a:effectLst/>
      </c:spPr>
    </c:plotArea>
    <c:legend>
      <c:legendPos val="b"/>
      <c:layout>
        <c:manualLayout>
          <c:xMode val="edge"/>
          <c:yMode val="edge"/>
          <c:x val="0.40895348433868672"/>
          <c:y val="1.9880444459861018E-2"/>
          <c:w val="0.26935261946882189"/>
          <c:h val="9.3188571692855576E-2"/>
        </c:manualLayout>
      </c:layout>
      <c:overlay val="0"/>
      <c:spPr>
        <a:noFill/>
        <a:ln w="25400">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legend>
    <c:plotVisOnly val="1"/>
    <c:dispBlanksAs val="gap"/>
    <c:showDLblsOverMax val="0"/>
  </c:chart>
  <c:spPr>
    <a:solidFill>
      <a:srgbClr val="FFFFFF"/>
    </a:solidFill>
    <a:ln w="25400" cap="flat" cmpd="sng" algn="ctr">
      <a:noFill/>
      <a:round/>
    </a:ln>
    <a:effectLst/>
  </c:spPr>
  <c:txPr>
    <a:bodyPr/>
    <a:lstStyle/>
    <a:p>
      <a:pPr>
        <a:defRPr sz="900" baseline="0">
          <a:solidFill>
            <a:schemeClr val="tx1"/>
          </a:solidFill>
          <a:latin typeface="Times New Roman" panose="02020603050405020304" pitchFamily="18" charset="0"/>
          <a:ea typeface="楷体" panose="02010609060101010101" pitchFamily="49" charset="-122"/>
          <a:cs typeface="华文细黑"/>
        </a:defRPr>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56194777454619"/>
          <c:y val="2.1979012345679012E-2"/>
          <c:w val="0.7421487629361645"/>
          <c:h val="0.90101481481481482"/>
        </c:manualLayout>
      </c:layout>
      <c:barChart>
        <c:barDir val="bar"/>
        <c:grouping val="clustered"/>
        <c:varyColors val="0"/>
        <c:ser>
          <c:idx val="0"/>
          <c:order val="0"/>
          <c:tx>
            <c:strRef>
              <c:f>Stock!$M$2</c:f>
              <c:strCache>
                <c:ptCount val="1"/>
                <c:pt idx="0">
                  <c:v>Price Change(Weekly)</c:v>
                </c:pt>
              </c:strCache>
            </c:strRef>
          </c:tx>
          <c:spPr>
            <a:solidFill>
              <a:srgbClr val="C00000"/>
            </a:solidFill>
            <a:ln>
              <a:solidFill>
                <a:srgbClr val="C00000"/>
              </a:solidFill>
              <a:prstDash val="solid"/>
            </a:ln>
            <a:effectLst/>
          </c:spPr>
          <c:invertIfNegative val="0"/>
          <c:cat>
            <c:strRef>
              <c:f>Stock!$L$12:$L$21</c:f>
              <c:strCache>
                <c:ptCount val="10"/>
                <c:pt idx="0">
                  <c:v>Times Neighbor</c:v>
                </c:pt>
                <c:pt idx="1">
                  <c:v>A-Living</c:v>
                </c:pt>
                <c:pt idx="2">
                  <c:v>Poly PPT DEV</c:v>
                </c:pt>
                <c:pt idx="3">
                  <c:v>COPM</c:v>
                </c:pt>
                <c:pt idx="4">
                  <c:v>YS Services</c:v>
                </c:pt>
                <c:pt idx="5">
                  <c:v>Kaisa Prosper</c:v>
                </c:pt>
                <c:pt idx="6">
                  <c:v>S-Enjoy</c:v>
                </c:pt>
                <c:pt idx="7">
                  <c:v>Powerlong CM</c:v>
                </c:pt>
                <c:pt idx="8">
                  <c:v>Xinyuan PM</c:v>
                </c:pt>
                <c:pt idx="9">
                  <c:v>Justbon</c:v>
                </c:pt>
              </c:strCache>
            </c:strRef>
          </c:cat>
          <c:val>
            <c:numRef>
              <c:f>Stock!$M$12:$M$21</c:f>
              <c:numCache>
                <c:formatCode>0.00%</c:formatCode>
                <c:ptCount val="10"/>
                <c:pt idx="0">
                  <c:v>5.2631578947368363E-2</c:v>
                </c:pt>
                <c:pt idx="1">
                  <c:v>5.8823529411764497E-2</c:v>
                </c:pt>
                <c:pt idx="2">
                  <c:v>6.6666666666666652E-2</c:v>
                </c:pt>
                <c:pt idx="3">
                  <c:v>7.7253218884120178E-2</c:v>
                </c:pt>
                <c:pt idx="4">
                  <c:v>8.8505747126436773E-2</c:v>
                </c:pt>
                <c:pt idx="5">
                  <c:v>0.1072124756335282</c:v>
                </c:pt>
                <c:pt idx="6">
                  <c:v>0.14189189189189166</c:v>
                </c:pt>
                <c:pt idx="7">
                  <c:v>0.16909090909090896</c:v>
                </c:pt>
                <c:pt idx="8">
                  <c:v>0.17333333333333337</c:v>
                </c:pt>
                <c:pt idx="9">
                  <c:v>0.23098201936376217</c:v>
                </c:pt>
              </c:numCache>
            </c:numRef>
          </c:val>
          <c:extLst>
            <c:ext xmlns:c16="http://schemas.microsoft.com/office/drawing/2014/chart" uri="{C3380CC4-5D6E-409C-BE32-E72D297353CC}">
              <c16:uniqueId val="{00000000-7054-486D-87A9-39CD35B2071D}"/>
            </c:ext>
          </c:extLst>
        </c:ser>
        <c:dLbls>
          <c:showLegendKey val="0"/>
          <c:showVal val="0"/>
          <c:showCatName val="0"/>
          <c:showSerName val="0"/>
          <c:showPercent val="0"/>
          <c:showBubbleSize val="0"/>
        </c:dLbls>
        <c:gapWidth val="182"/>
        <c:axId val="-93581840"/>
        <c:axId val="-93573136"/>
      </c:barChart>
      <c:catAx>
        <c:axId val="-93581840"/>
        <c:scaling>
          <c:orientation val="minMax"/>
        </c:scaling>
        <c:delete val="0"/>
        <c:axPos val="l"/>
        <c:numFmt formatCode="General" sourceLinked="1"/>
        <c:majorTickMark val="none"/>
        <c:minorTickMark val="none"/>
        <c:tickLblPos val="low"/>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73136"/>
        <c:crosses val="autoZero"/>
        <c:auto val="1"/>
        <c:lblAlgn val="ctr"/>
        <c:lblOffset val="100"/>
        <c:noMultiLvlLbl val="0"/>
      </c:catAx>
      <c:valAx>
        <c:axId val="-93573136"/>
        <c:scaling>
          <c:orientation val="minMax"/>
        </c:scaling>
        <c:delete val="0"/>
        <c:axPos val="b"/>
        <c:numFmt formatCode="0%" sourceLinked="0"/>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81840"/>
        <c:crosses val="autoZero"/>
        <c:crossBetween val="between"/>
      </c:valAx>
      <c:spPr>
        <a:noFill/>
        <a:ln w="25400">
          <a:noFill/>
        </a:ln>
        <a:effectLst/>
      </c:spPr>
    </c:plotArea>
    <c:legend>
      <c:legendPos val="b"/>
      <c:layout>
        <c:manualLayout>
          <c:xMode val="edge"/>
          <c:yMode val="edge"/>
          <c:x val="0.59641594350255767"/>
          <c:y val="0.80681975308641973"/>
          <c:w val="0.38180553731078021"/>
          <c:h val="5.7899691358024689E-2"/>
        </c:manualLayout>
      </c:layout>
      <c:overlay val="0"/>
      <c:spPr>
        <a:noFill/>
        <a:ln w="25400">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legend>
    <c:plotVisOnly val="1"/>
    <c:dispBlanksAs val="gap"/>
    <c:showDLblsOverMax val="0"/>
  </c:chart>
  <c:spPr>
    <a:solidFill>
      <a:srgbClr val="FFFFFF"/>
    </a:solidFill>
    <a:ln w="25400" cap="flat" cmpd="sng" algn="ctr">
      <a:noFill/>
      <a:round/>
    </a:ln>
    <a:effectLst/>
  </c:spPr>
  <c:txPr>
    <a:bodyPr/>
    <a:lstStyle/>
    <a:p>
      <a:pPr>
        <a:defRPr sz="800" baseline="0">
          <a:solidFill>
            <a:schemeClr val="tx1"/>
          </a:solidFill>
          <a:latin typeface="Times New Roman" panose="02020603050405020304" pitchFamily="18" charset="0"/>
          <a:ea typeface="楷体" panose="02010609060101010101" pitchFamily="49" charset="-122"/>
          <a:cs typeface="华文细黑"/>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531824468948255"/>
          <c:y val="2.7277160493827154E-2"/>
          <c:w val="0.62449522072743846"/>
          <c:h val="0.89776450617283954"/>
        </c:manualLayout>
      </c:layout>
      <c:barChart>
        <c:barDir val="bar"/>
        <c:grouping val="clustered"/>
        <c:varyColors val="0"/>
        <c:ser>
          <c:idx val="0"/>
          <c:order val="0"/>
          <c:tx>
            <c:strRef>
              <c:f>Stock!$U$2</c:f>
              <c:strCache>
                <c:ptCount val="1"/>
                <c:pt idx="0">
                  <c:v>Price Change(YTD)</c:v>
                </c:pt>
              </c:strCache>
            </c:strRef>
          </c:tx>
          <c:spPr>
            <a:solidFill>
              <a:srgbClr val="C00000"/>
            </a:solidFill>
            <a:ln>
              <a:solidFill>
                <a:srgbClr val="C00000"/>
              </a:solidFill>
              <a:prstDash val="solid"/>
            </a:ln>
            <a:effectLst/>
          </c:spPr>
          <c:invertIfNegative val="0"/>
          <c:cat>
            <c:strRef>
              <c:f>Stock!$T$12:$T$21</c:f>
              <c:strCache>
                <c:ptCount val="10"/>
                <c:pt idx="0">
                  <c:v>Xinyuan PM</c:v>
                </c:pt>
                <c:pt idx="1">
                  <c:v>Powerlong CM</c:v>
                </c:pt>
                <c:pt idx="2">
                  <c:v>Times Neighbor</c:v>
                </c:pt>
                <c:pt idx="3">
                  <c:v>Kaisa Prosper</c:v>
                </c:pt>
                <c:pt idx="4">
                  <c:v>S-Enjoy</c:v>
                </c:pt>
                <c:pt idx="5">
                  <c:v>A-Living</c:v>
                </c:pt>
                <c:pt idx="6">
                  <c:v>Poly PPT DEV</c:v>
                </c:pt>
                <c:pt idx="7">
                  <c:v>COPM</c:v>
                </c:pt>
                <c:pt idx="8">
                  <c:v>Binjiang Ser</c:v>
                </c:pt>
                <c:pt idx="9">
                  <c:v>YS Services</c:v>
                </c:pt>
              </c:strCache>
            </c:strRef>
          </c:cat>
          <c:val>
            <c:numRef>
              <c:f>Stock!$U$12:$U$21</c:f>
              <c:numCache>
                <c:formatCode>0.00%</c:formatCode>
                <c:ptCount val="10"/>
                <c:pt idx="0">
                  <c:v>0.23943661971830998</c:v>
                </c:pt>
                <c:pt idx="1">
                  <c:v>0.30957230142566172</c:v>
                </c:pt>
                <c:pt idx="2">
                  <c:v>0.31958762886597958</c:v>
                </c:pt>
                <c:pt idx="3">
                  <c:v>0.35238095238095224</c:v>
                </c:pt>
                <c:pt idx="4">
                  <c:v>0.38752052545155968</c:v>
                </c:pt>
                <c:pt idx="5">
                  <c:v>0.40520446096654261</c:v>
                </c:pt>
                <c:pt idx="6">
                  <c:v>0.43743315508021396</c:v>
                </c:pt>
                <c:pt idx="7">
                  <c:v>0.53673469387755102</c:v>
                </c:pt>
                <c:pt idx="8">
                  <c:v>0.60277777777777763</c:v>
                </c:pt>
                <c:pt idx="9">
                  <c:v>0.79356060606060597</c:v>
                </c:pt>
              </c:numCache>
            </c:numRef>
          </c:val>
          <c:extLst>
            <c:ext xmlns:c16="http://schemas.microsoft.com/office/drawing/2014/chart" uri="{C3380CC4-5D6E-409C-BE32-E72D297353CC}">
              <c16:uniqueId val="{00000000-3737-4587-970A-F922B7FBF02F}"/>
            </c:ext>
          </c:extLst>
        </c:ser>
        <c:dLbls>
          <c:showLegendKey val="0"/>
          <c:showVal val="0"/>
          <c:showCatName val="0"/>
          <c:showSerName val="0"/>
          <c:showPercent val="0"/>
          <c:showBubbleSize val="0"/>
        </c:dLbls>
        <c:gapWidth val="182"/>
        <c:axId val="-93581296"/>
        <c:axId val="-93580752"/>
      </c:barChart>
      <c:catAx>
        <c:axId val="-93581296"/>
        <c:scaling>
          <c:orientation val="minMax"/>
        </c:scaling>
        <c:delete val="0"/>
        <c:axPos val="l"/>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80752"/>
        <c:crosses val="autoZero"/>
        <c:auto val="1"/>
        <c:lblAlgn val="ctr"/>
        <c:lblOffset val="100"/>
        <c:noMultiLvlLbl val="0"/>
      </c:catAx>
      <c:valAx>
        <c:axId val="-93580752"/>
        <c:scaling>
          <c:orientation val="minMax"/>
        </c:scaling>
        <c:delete val="0"/>
        <c:axPos val="b"/>
        <c:numFmt formatCode="0%" sourceLinked="0"/>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81296"/>
        <c:crosses val="autoZero"/>
        <c:crossBetween val="between"/>
      </c:valAx>
      <c:spPr>
        <a:noFill/>
        <a:ln w="25400">
          <a:noFill/>
        </a:ln>
        <a:effectLst/>
      </c:spPr>
    </c:plotArea>
    <c:legend>
      <c:legendPos val="b"/>
      <c:layout>
        <c:manualLayout>
          <c:xMode val="edge"/>
          <c:yMode val="edge"/>
          <c:x val="0.58981564241406759"/>
          <c:y val="0.81274845679012331"/>
          <c:w val="0.34889724370039332"/>
          <c:h val="5.7899691358024689E-2"/>
        </c:manualLayout>
      </c:layout>
      <c:overlay val="0"/>
      <c:spPr>
        <a:noFill/>
        <a:ln w="25400">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legend>
    <c:plotVisOnly val="1"/>
    <c:dispBlanksAs val="gap"/>
    <c:showDLblsOverMax val="0"/>
  </c:chart>
  <c:spPr>
    <a:solidFill>
      <a:srgbClr val="FFFFFF"/>
    </a:solidFill>
    <a:ln w="25400" cap="flat" cmpd="sng" algn="ctr">
      <a:noFill/>
      <a:round/>
    </a:ln>
    <a:effectLst/>
  </c:spPr>
  <c:txPr>
    <a:bodyPr/>
    <a:lstStyle/>
    <a:p>
      <a:pPr>
        <a:defRPr sz="800" baseline="0">
          <a:solidFill>
            <a:schemeClr val="tx1"/>
          </a:solidFill>
          <a:latin typeface="Times New Roman" panose="02020603050405020304" pitchFamily="18" charset="0"/>
          <a:ea typeface="楷体" panose="02010609060101010101" pitchFamily="49" charset="-122"/>
          <a:cs typeface="华文细黑"/>
        </a:defRPr>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581497797356811E-2"/>
          <c:y val="5.3671881323204648E-2"/>
          <c:w val="0.89477863725184137"/>
          <c:h val="0.45125718316047497"/>
        </c:manualLayout>
      </c:layout>
      <c:barChart>
        <c:barDir val="col"/>
        <c:grouping val="clustered"/>
        <c:varyColors val="0"/>
        <c:ser>
          <c:idx val="0"/>
          <c:order val="0"/>
          <c:tx>
            <c:strRef>
              <c:f>Stock!$G$81</c:f>
              <c:strCache>
                <c:ptCount val="1"/>
                <c:pt idx="0">
                  <c:v>Turnover(Weekly)</c:v>
                </c:pt>
              </c:strCache>
            </c:strRef>
          </c:tx>
          <c:spPr>
            <a:solidFill>
              <a:srgbClr val="C00000"/>
            </a:solidFill>
            <a:ln>
              <a:solidFill>
                <a:srgbClr val="C00000">
                  <a:alpha val="93000"/>
                </a:srgbClr>
              </a:solidFill>
              <a:prstDash val="solid"/>
            </a:ln>
            <a:effectLst/>
          </c:spPr>
          <c:invertIfNegative val="0"/>
          <c:cat>
            <c:strRef>
              <c:f>Stock!$F$82:$F$91</c:f>
              <c:strCache>
                <c:ptCount val="10"/>
                <c:pt idx="0">
                  <c:v>Aoyuan Healthy</c:v>
                </c:pt>
                <c:pt idx="1">
                  <c:v>Justbon</c:v>
                </c:pt>
                <c:pt idx="2">
                  <c:v>A-Living</c:v>
                </c:pt>
                <c:pt idx="3">
                  <c:v>Xinyuan PM</c:v>
                </c:pt>
                <c:pt idx="4">
                  <c:v>Poly PPT DEV</c:v>
                </c:pt>
                <c:pt idx="5">
                  <c:v>Times Neighbor</c:v>
                </c:pt>
                <c:pt idx="6">
                  <c:v>Yincheng LS</c:v>
                </c:pt>
                <c:pt idx="7">
                  <c:v>Kaisa Prosper</c:v>
                </c:pt>
                <c:pt idx="8">
                  <c:v>YS Services</c:v>
                </c:pt>
                <c:pt idx="9">
                  <c:v>S-Enjoy</c:v>
                </c:pt>
              </c:strCache>
            </c:strRef>
          </c:cat>
          <c:val>
            <c:numRef>
              <c:f>Stock!$G$82:$G$91</c:f>
              <c:numCache>
                <c:formatCode>0.00%</c:formatCode>
                <c:ptCount val="10"/>
                <c:pt idx="0">
                  <c:v>0.17101962134251289</c:v>
                </c:pt>
                <c:pt idx="1">
                  <c:v>9.5210693423188122E-2</c:v>
                </c:pt>
                <c:pt idx="2">
                  <c:v>6.4131016721512737E-2</c:v>
                </c:pt>
                <c:pt idx="3">
                  <c:v>6.3020000000000007E-2</c:v>
                </c:pt>
                <c:pt idx="4">
                  <c:v>5.7230238160766021E-2</c:v>
                </c:pt>
                <c:pt idx="5">
                  <c:v>3.7485436987580299E-2</c:v>
                </c:pt>
                <c:pt idx="6">
                  <c:v>3.408546445469246E-2</c:v>
                </c:pt>
                <c:pt idx="7">
                  <c:v>3.3947857142857141E-2</c:v>
                </c:pt>
                <c:pt idx="8">
                  <c:v>2.9427768159333508E-2</c:v>
                </c:pt>
                <c:pt idx="9">
                  <c:v>2.0073918836328079E-2</c:v>
                </c:pt>
              </c:numCache>
            </c:numRef>
          </c:val>
          <c:extLst>
            <c:ext xmlns:c16="http://schemas.microsoft.com/office/drawing/2014/chart" uri="{C3380CC4-5D6E-409C-BE32-E72D297353CC}">
              <c16:uniqueId val="{00000000-A844-462A-A4B4-E7793CF9D4BE}"/>
            </c:ext>
          </c:extLst>
        </c:ser>
        <c:dLbls>
          <c:showLegendKey val="0"/>
          <c:showVal val="0"/>
          <c:showCatName val="0"/>
          <c:showSerName val="0"/>
          <c:showPercent val="0"/>
          <c:showBubbleSize val="0"/>
        </c:dLbls>
        <c:gapWidth val="219"/>
        <c:overlap val="-27"/>
        <c:axId val="-93579120"/>
        <c:axId val="-93578576"/>
      </c:barChart>
      <c:catAx>
        <c:axId val="-93579120"/>
        <c:scaling>
          <c:orientation val="minMax"/>
        </c:scaling>
        <c:delete val="0"/>
        <c:axPos val="b"/>
        <c:numFmt formatCode="General" sourceLinked="1"/>
        <c:majorTickMark val="out"/>
        <c:minorTickMark val="none"/>
        <c:tickLblPos val="nextTo"/>
        <c:spPr>
          <a:noFill/>
          <a:ln w="6350" cap="flat" cmpd="sng" algn="ctr">
            <a:solidFill>
              <a:schemeClr val="tx1"/>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78576"/>
        <c:crosses val="autoZero"/>
        <c:auto val="1"/>
        <c:lblAlgn val="ctr"/>
        <c:lblOffset val="100"/>
        <c:noMultiLvlLbl val="0"/>
      </c:catAx>
      <c:valAx>
        <c:axId val="-93578576"/>
        <c:scaling>
          <c:orientation val="minMax"/>
        </c:scaling>
        <c:delete val="0"/>
        <c:axPos val="l"/>
        <c:numFmt formatCode="0%" sourceLinked="0"/>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93579120"/>
        <c:crosses val="autoZero"/>
        <c:crossBetween val="between"/>
        <c:majorUnit val="3.0000000000000006E-2"/>
      </c:valAx>
      <c:spPr>
        <a:noFill/>
        <a:ln w="25400">
          <a:noFill/>
        </a:ln>
        <a:effectLst/>
      </c:spPr>
    </c:plotArea>
    <c:legend>
      <c:legendPos val="b"/>
      <c:layout>
        <c:manualLayout>
          <c:xMode val="edge"/>
          <c:yMode val="edge"/>
          <c:x val="0.40895348433868672"/>
          <c:y val="1.9880444459861018E-2"/>
          <c:w val="0.26935261946882189"/>
          <c:h val="9.3188571692855576E-2"/>
        </c:manualLayout>
      </c:layout>
      <c:overlay val="0"/>
      <c:spPr>
        <a:noFill/>
        <a:ln w="25400">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legend>
    <c:plotVisOnly val="1"/>
    <c:dispBlanksAs val="gap"/>
    <c:showDLblsOverMax val="0"/>
  </c:chart>
  <c:spPr>
    <a:solidFill>
      <a:srgbClr val="FFFFFF"/>
    </a:solidFill>
    <a:ln w="25400" cap="flat" cmpd="sng" algn="ctr">
      <a:noFill/>
      <a:round/>
    </a:ln>
    <a:effectLst/>
  </c:spPr>
  <c:txPr>
    <a:bodyPr/>
    <a:lstStyle/>
    <a:p>
      <a:pPr>
        <a:defRPr sz="900" baseline="0">
          <a:solidFill>
            <a:schemeClr val="tx1"/>
          </a:solidFill>
          <a:latin typeface="Times New Roman" panose="02020603050405020304" pitchFamily="18" charset="0"/>
          <a:ea typeface="楷体" panose="02010609060101010101" pitchFamily="49" charset="-122"/>
          <a:cs typeface="华文细黑"/>
        </a:defRPr>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880941644408987E-2"/>
          <c:y val="5.9545596448021099E-2"/>
          <c:w val="0.91690658711713902"/>
          <c:h val="0.72265473423751547"/>
        </c:manualLayout>
      </c:layout>
      <c:barChart>
        <c:barDir val="col"/>
        <c:grouping val="clustered"/>
        <c:varyColors val="0"/>
        <c:ser>
          <c:idx val="0"/>
          <c:order val="0"/>
          <c:tx>
            <c:strRef>
              <c:f>'Listed&amp;Price'!$B$18</c:f>
              <c:strCache>
                <c:ptCount val="1"/>
                <c:pt idx="0">
                  <c:v>2nd House Listed for-sale Amount Index</c:v>
                </c:pt>
              </c:strCache>
            </c:strRef>
          </c:tx>
          <c:spPr>
            <a:solidFill>
              <a:schemeClr val="bg1">
                <a:lumMod val="85000"/>
              </a:schemeClr>
            </a:solidFill>
            <a:ln>
              <a:solidFill>
                <a:schemeClr val="bg1">
                  <a:lumMod val="85000"/>
                </a:schemeClr>
              </a:solidFill>
            </a:ln>
            <a:effectLst/>
          </c:spPr>
          <c:invertIfNegative val="0"/>
          <c:cat>
            <c:numRef>
              <c:f>'Listed&amp;Price'!$A$19:$A$292</c:f>
              <c:numCache>
                <c:formatCode>m/d/yyyy</c:formatCode>
                <c:ptCount val="274"/>
                <c:pt idx="0">
                  <c:v>42008</c:v>
                </c:pt>
                <c:pt idx="1">
                  <c:v>42015</c:v>
                </c:pt>
                <c:pt idx="2">
                  <c:v>42022</c:v>
                </c:pt>
                <c:pt idx="3">
                  <c:v>42029</c:v>
                </c:pt>
                <c:pt idx="4">
                  <c:v>42036</c:v>
                </c:pt>
                <c:pt idx="5">
                  <c:v>42043</c:v>
                </c:pt>
                <c:pt idx="6">
                  <c:v>42050</c:v>
                </c:pt>
                <c:pt idx="7">
                  <c:v>42057</c:v>
                </c:pt>
                <c:pt idx="8">
                  <c:v>42064</c:v>
                </c:pt>
                <c:pt idx="9">
                  <c:v>42071</c:v>
                </c:pt>
                <c:pt idx="10">
                  <c:v>42078</c:v>
                </c:pt>
                <c:pt idx="11">
                  <c:v>42085</c:v>
                </c:pt>
                <c:pt idx="12">
                  <c:v>42092</c:v>
                </c:pt>
                <c:pt idx="13">
                  <c:v>42099</c:v>
                </c:pt>
                <c:pt idx="14">
                  <c:v>42106</c:v>
                </c:pt>
                <c:pt idx="15">
                  <c:v>42113</c:v>
                </c:pt>
                <c:pt idx="16">
                  <c:v>42120</c:v>
                </c:pt>
                <c:pt idx="17">
                  <c:v>42127</c:v>
                </c:pt>
                <c:pt idx="18">
                  <c:v>42134</c:v>
                </c:pt>
                <c:pt idx="19">
                  <c:v>42141</c:v>
                </c:pt>
                <c:pt idx="20">
                  <c:v>42148</c:v>
                </c:pt>
                <c:pt idx="21">
                  <c:v>42155</c:v>
                </c:pt>
                <c:pt idx="22">
                  <c:v>42162</c:v>
                </c:pt>
                <c:pt idx="23">
                  <c:v>42169</c:v>
                </c:pt>
                <c:pt idx="24">
                  <c:v>42176</c:v>
                </c:pt>
                <c:pt idx="25">
                  <c:v>42183</c:v>
                </c:pt>
                <c:pt idx="26">
                  <c:v>42190</c:v>
                </c:pt>
                <c:pt idx="27">
                  <c:v>42197</c:v>
                </c:pt>
                <c:pt idx="28">
                  <c:v>42204</c:v>
                </c:pt>
                <c:pt idx="29">
                  <c:v>42211</c:v>
                </c:pt>
                <c:pt idx="30">
                  <c:v>42218</c:v>
                </c:pt>
                <c:pt idx="31">
                  <c:v>42225</c:v>
                </c:pt>
                <c:pt idx="32">
                  <c:v>42232</c:v>
                </c:pt>
                <c:pt idx="33">
                  <c:v>42239</c:v>
                </c:pt>
                <c:pt idx="34">
                  <c:v>42246</c:v>
                </c:pt>
                <c:pt idx="35">
                  <c:v>42253</c:v>
                </c:pt>
                <c:pt idx="36">
                  <c:v>42260</c:v>
                </c:pt>
                <c:pt idx="37">
                  <c:v>42267</c:v>
                </c:pt>
                <c:pt idx="38">
                  <c:v>42274</c:v>
                </c:pt>
                <c:pt idx="39">
                  <c:v>42281</c:v>
                </c:pt>
                <c:pt idx="40">
                  <c:v>42288</c:v>
                </c:pt>
                <c:pt idx="41">
                  <c:v>42295</c:v>
                </c:pt>
                <c:pt idx="42">
                  <c:v>42302</c:v>
                </c:pt>
                <c:pt idx="43">
                  <c:v>42309</c:v>
                </c:pt>
                <c:pt idx="44">
                  <c:v>42316</c:v>
                </c:pt>
                <c:pt idx="45">
                  <c:v>42323</c:v>
                </c:pt>
                <c:pt idx="46">
                  <c:v>42330</c:v>
                </c:pt>
                <c:pt idx="47">
                  <c:v>42337</c:v>
                </c:pt>
                <c:pt idx="48">
                  <c:v>42344</c:v>
                </c:pt>
                <c:pt idx="49">
                  <c:v>42351</c:v>
                </c:pt>
                <c:pt idx="50">
                  <c:v>42358</c:v>
                </c:pt>
                <c:pt idx="51">
                  <c:v>42365</c:v>
                </c:pt>
                <c:pt idx="52">
                  <c:v>42372</c:v>
                </c:pt>
                <c:pt idx="53">
                  <c:v>42379</c:v>
                </c:pt>
                <c:pt idx="54">
                  <c:v>42386</c:v>
                </c:pt>
                <c:pt idx="55">
                  <c:v>42393</c:v>
                </c:pt>
                <c:pt idx="56">
                  <c:v>42400</c:v>
                </c:pt>
                <c:pt idx="57">
                  <c:v>42407</c:v>
                </c:pt>
                <c:pt idx="58">
                  <c:v>42414</c:v>
                </c:pt>
                <c:pt idx="59">
                  <c:v>42421</c:v>
                </c:pt>
                <c:pt idx="60">
                  <c:v>42428</c:v>
                </c:pt>
                <c:pt idx="61">
                  <c:v>42435</c:v>
                </c:pt>
                <c:pt idx="62">
                  <c:v>42442</c:v>
                </c:pt>
                <c:pt idx="63">
                  <c:v>42449</c:v>
                </c:pt>
                <c:pt idx="64">
                  <c:v>42456</c:v>
                </c:pt>
                <c:pt idx="65">
                  <c:v>42463</c:v>
                </c:pt>
                <c:pt idx="66">
                  <c:v>42470</c:v>
                </c:pt>
                <c:pt idx="67">
                  <c:v>42477</c:v>
                </c:pt>
                <c:pt idx="68">
                  <c:v>42484</c:v>
                </c:pt>
                <c:pt idx="69">
                  <c:v>42491</c:v>
                </c:pt>
                <c:pt idx="70">
                  <c:v>42498</c:v>
                </c:pt>
                <c:pt idx="71">
                  <c:v>42505</c:v>
                </c:pt>
                <c:pt idx="72">
                  <c:v>42512</c:v>
                </c:pt>
                <c:pt idx="73">
                  <c:v>42519</c:v>
                </c:pt>
                <c:pt idx="74">
                  <c:v>42526</c:v>
                </c:pt>
                <c:pt idx="75">
                  <c:v>42533</c:v>
                </c:pt>
                <c:pt idx="76">
                  <c:v>42540</c:v>
                </c:pt>
                <c:pt idx="77">
                  <c:v>42547</c:v>
                </c:pt>
                <c:pt idx="78">
                  <c:v>42554</c:v>
                </c:pt>
                <c:pt idx="79">
                  <c:v>42561</c:v>
                </c:pt>
                <c:pt idx="80">
                  <c:v>42568</c:v>
                </c:pt>
                <c:pt idx="81">
                  <c:v>42575</c:v>
                </c:pt>
                <c:pt idx="82">
                  <c:v>42582</c:v>
                </c:pt>
                <c:pt idx="83">
                  <c:v>42589</c:v>
                </c:pt>
                <c:pt idx="84">
                  <c:v>42596</c:v>
                </c:pt>
                <c:pt idx="85">
                  <c:v>42603</c:v>
                </c:pt>
                <c:pt idx="86">
                  <c:v>42610</c:v>
                </c:pt>
                <c:pt idx="87">
                  <c:v>42617</c:v>
                </c:pt>
                <c:pt idx="88">
                  <c:v>42624</c:v>
                </c:pt>
                <c:pt idx="89">
                  <c:v>42631</c:v>
                </c:pt>
                <c:pt idx="90">
                  <c:v>42638</c:v>
                </c:pt>
                <c:pt idx="91">
                  <c:v>42645</c:v>
                </c:pt>
                <c:pt idx="92">
                  <c:v>42652</c:v>
                </c:pt>
                <c:pt idx="93">
                  <c:v>42659</c:v>
                </c:pt>
                <c:pt idx="94">
                  <c:v>42666</c:v>
                </c:pt>
                <c:pt idx="95">
                  <c:v>42673</c:v>
                </c:pt>
                <c:pt idx="96">
                  <c:v>42680</c:v>
                </c:pt>
                <c:pt idx="97">
                  <c:v>42687</c:v>
                </c:pt>
                <c:pt idx="98">
                  <c:v>42694</c:v>
                </c:pt>
                <c:pt idx="99">
                  <c:v>42701</c:v>
                </c:pt>
                <c:pt idx="100">
                  <c:v>42708</c:v>
                </c:pt>
                <c:pt idx="101">
                  <c:v>42715</c:v>
                </c:pt>
                <c:pt idx="102">
                  <c:v>42722</c:v>
                </c:pt>
                <c:pt idx="103">
                  <c:v>42729</c:v>
                </c:pt>
                <c:pt idx="104">
                  <c:v>42736</c:v>
                </c:pt>
                <c:pt idx="105">
                  <c:v>42743</c:v>
                </c:pt>
                <c:pt idx="106">
                  <c:v>42750</c:v>
                </c:pt>
                <c:pt idx="107">
                  <c:v>42757</c:v>
                </c:pt>
                <c:pt idx="108">
                  <c:v>42764</c:v>
                </c:pt>
                <c:pt idx="109">
                  <c:v>42771</c:v>
                </c:pt>
                <c:pt idx="110">
                  <c:v>42778</c:v>
                </c:pt>
                <c:pt idx="111">
                  <c:v>42785</c:v>
                </c:pt>
                <c:pt idx="112">
                  <c:v>42792</c:v>
                </c:pt>
                <c:pt idx="113">
                  <c:v>42799</c:v>
                </c:pt>
                <c:pt idx="114">
                  <c:v>42806</c:v>
                </c:pt>
                <c:pt idx="115">
                  <c:v>42813</c:v>
                </c:pt>
                <c:pt idx="116">
                  <c:v>42820</c:v>
                </c:pt>
                <c:pt idx="117">
                  <c:v>42827</c:v>
                </c:pt>
                <c:pt idx="118">
                  <c:v>42834</c:v>
                </c:pt>
                <c:pt idx="119">
                  <c:v>42841</c:v>
                </c:pt>
                <c:pt idx="120">
                  <c:v>42848</c:v>
                </c:pt>
                <c:pt idx="121">
                  <c:v>42855</c:v>
                </c:pt>
                <c:pt idx="122">
                  <c:v>42862</c:v>
                </c:pt>
                <c:pt idx="123">
                  <c:v>42869</c:v>
                </c:pt>
                <c:pt idx="124">
                  <c:v>42876</c:v>
                </c:pt>
                <c:pt idx="125">
                  <c:v>42883</c:v>
                </c:pt>
                <c:pt idx="126">
                  <c:v>42890</c:v>
                </c:pt>
                <c:pt idx="127">
                  <c:v>42897</c:v>
                </c:pt>
                <c:pt idx="128">
                  <c:v>42904</c:v>
                </c:pt>
                <c:pt idx="129">
                  <c:v>42911</c:v>
                </c:pt>
                <c:pt idx="130">
                  <c:v>42918</c:v>
                </c:pt>
                <c:pt idx="131">
                  <c:v>42925</c:v>
                </c:pt>
                <c:pt idx="132">
                  <c:v>42932</c:v>
                </c:pt>
                <c:pt idx="133">
                  <c:v>42939</c:v>
                </c:pt>
                <c:pt idx="134">
                  <c:v>42946</c:v>
                </c:pt>
                <c:pt idx="135">
                  <c:v>42953</c:v>
                </c:pt>
                <c:pt idx="136">
                  <c:v>42960</c:v>
                </c:pt>
                <c:pt idx="137">
                  <c:v>42967</c:v>
                </c:pt>
                <c:pt idx="138">
                  <c:v>42974</c:v>
                </c:pt>
                <c:pt idx="139">
                  <c:v>42981</c:v>
                </c:pt>
                <c:pt idx="140">
                  <c:v>42988</c:v>
                </c:pt>
                <c:pt idx="141">
                  <c:v>42995</c:v>
                </c:pt>
                <c:pt idx="142">
                  <c:v>43002</c:v>
                </c:pt>
                <c:pt idx="143">
                  <c:v>43009</c:v>
                </c:pt>
                <c:pt idx="144">
                  <c:v>43016</c:v>
                </c:pt>
                <c:pt idx="145">
                  <c:v>43023</c:v>
                </c:pt>
                <c:pt idx="146">
                  <c:v>43030</c:v>
                </c:pt>
                <c:pt idx="147">
                  <c:v>43037</c:v>
                </c:pt>
                <c:pt idx="148">
                  <c:v>43044</c:v>
                </c:pt>
                <c:pt idx="149">
                  <c:v>43051</c:v>
                </c:pt>
                <c:pt idx="150">
                  <c:v>43058</c:v>
                </c:pt>
                <c:pt idx="151">
                  <c:v>43065</c:v>
                </c:pt>
                <c:pt idx="152">
                  <c:v>43072</c:v>
                </c:pt>
                <c:pt idx="153">
                  <c:v>43079</c:v>
                </c:pt>
                <c:pt idx="154">
                  <c:v>43086</c:v>
                </c:pt>
                <c:pt idx="155">
                  <c:v>43093</c:v>
                </c:pt>
                <c:pt idx="156">
                  <c:v>43100</c:v>
                </c:pt>
                <c:pt idx="157">
                  <c:v>43107</c:v>
                </c:pt>
                <c:pt idx="158">
                  <c:v>43114</c:v>
                </c:pt>
                <c:pt idx="159">
                  <c:v>43121</c:v>
                </c:pt>
                <c:pt idx="160">
                  <c:v>43128</c:v>
                </c:pt>
                <c:pt idx="161">
                  <c:v>43135</c:v>
                </c:pt>
                <c:pt idx="162">
                  <c:v>43142</c:v>
                </c:pt>
                <c:pt idx="163">
                  <c:v>43149</c:v>
                </c:pt>
                <c:pt idx="164">
                  <c:v>43156</c:v>
                </c:pt>
                <c:pt idx="165">
                  <c:v>43163</c:v>
                </c:pt>
                <c:pt idx="166">
                  <c:v>43170</c:v>
                </c:pt>
                <c:pt idx="167">
                  <c:v>43177</c:v>
                </c:pt>
                <c:pt idx="168">
                  <c:v>43184</c:v>
                </c:pt>
                <c:pt idx="169">
                  <c:v>43191</c:v>
                </c:pt>
                <c:pt idx="170">
                  <c:v>43198</c:v>
                </c:pt>
                <c:pt idx="171">
                  <c:v>43205</c:v>
                </c:pt>
                <c:pt idx="172">
                  <c:v>43212</c:v>
                </c:pt>
                <c:pt idx="173">
                  <c:v>43219</c:v>
                </c:pt>
                <c:pt idx="174">
                  <c:v>43226</c:v>
                </c:pt>
                <c:pt idx="175">
                  <c:v>43233</c:v>
                </c:pt>
                <c:pt idx="176">
                  <c:v>43240</c:v>
                </c:pt>
                <c:pt idx="177">
                  <c:v>43247</c:v>
                </c:pt>
                <c:pt idx="178">
                  <c:v>43254</c:v>
                </c:pt>
                <c:pt idx="179">
                  <c:v>43261</c:v>
                </c:pt>
                <c:pt idx="180">
                  <c:v>43268</c:v>
                </c:pt>
                <c:pt idx="181">
                  <c:v>43275</c:v>
                </c:pt>
                <c:pt idx="182">
                  <c:v>43282</c:v>
                </c:pt>
                <c:pt idx="183">
                  <c:v>43289</c:v>
                </c:pt>
                <c:pt idx="184">
                  <c:v>43296</c:v>
                </c:pt>
                <c:pt idx="185">
                  <c:v>43303</c:v>
                </c:pt>
                <c:pt idx="186">
                  <c:v>43310</c:v>
                </c:pt>
                <c:pt idx="187">
                  <c:v>43317</c:v>
                </c:pt>
                <c:pt idx="188">
                  <c:v>43324</c:v>
                </c:pt>
                <c:pt idx="189">
                  <c:v>43331</c:v>
                </c:pt>
                <c:pt idx="190">
                  <c:v>43338</c:v>
                </c:pt>
                <c:pt idx="191">
                  <c:v>43345</c:v>
                </c:pt>
                <c:pt idx="192">
                  <c:v>43352</c:v>
                </c:pt>
                <c:pt idx="193">
                  <c:v>43359</c:v>
                </c:pt>
                <c:pt idx="194">
                  <c:v>43366</c:v>
                </c:pt>
                <c:pt idx="195">
                  <c:v>43373</c:v>
                </c:pt>
                <c:pt idx="196">
                  <c:v>43380</c:v>
                </c:pt>
                <c:pt idx="197">
                  <c:v>43387</c:v>
                </c:pt>
                <c:pt idx="198">
                  <c:v>43394</c:v>
                </c:pt>
                <c:pt idx="199">
                  <c:v>43401</c:v>
                </c:pt>
                <c:pt idx="200">
                  <c:v>43408</c:v>
                </c:pt>
                <c:pt idx="201">
                  <c:v>43415</c:v>
                </c:pt>
                <c:pt idx="202">
                  <c:v>43422</c:v>
                </c:pt>
                <c:pt idx="203">
                  <c:v>43429</c:v>
                </c:pt>
                <c:pt idx="204">
                  <c:v>43436</c:v>
                </c:pt>
                <c:pt idx="205">
                  <c:v>43443</c:v>
                </c:pt>
                <c:pt idx="206">
                  <c:v>43450</c:v>
                </c:pt>
                <c:pt idx="207">
                  <c:v>43457</c:v>
                </c:pt>
                <c:pt idx="208">
                  <c:v>43464</c:v>
                </c:pt>
                <c:pt idx="209">
                  <c:v>43471</c:v>
                </c:pt>
                <c:pt idx="210">
                  <c:v>43478</c:v>
                </c:pt>
                <c:pt idx="211">
                  <c:v>43485</c:v>
                </c:pt>
                <c:pt idx="212">
                  <c:v>43492</c:v>
                </c:pt>
                <c:pt idx="213">
                  <c:v>43499</c:v>
                </c:pt>
                <c:pt idx="214">
                  <c:v>43506</c:v>
                </c:pt>
                <c:pt idx="215">
                  <c:v>43513</c:v>
                </c:pt>
                <c:pt idx="216">
                  <c:v>43520</c:v>
                </c:pt>
                <c:pt idx="217">
                  <c:v>43527</c:v>
                </c:pt>
                <c:pt idx="218">
                  <c:v>43534</c:v>
                </c:pt>
                <c:pt idx="219">
                  <c:v>43541</c:v>
                </c:pt>
                <c:pt idx="220">
                  <c:v>43548</c:v>
                </c:pt>
                <c:pt idx="221">
                  <c:v>43555</c:v>
                </c:pt>
                <c:pt idx="222">
                  <c:v>43562</c:v>
                </c:pt>
                <c:pt idx="223">
                  <c:v>43569</c:v>
                </c:pt>
                <c:pt idx="224">
                  <c:v>43576</c:v>
                </c:pt>
                <c:pt idx="225">
                  <c:v>43583</c:v>
                </c:pt>
                <c:pt idx="226">
                  <c:v>43590</c:v>
                </c:pt>
                <c:pt idx="227">
                  <c:v>43597</c:v>
                </c:pt>
                <c:pt idx="228">
                  <c:v>43604</c:v>
                </c:pt>
                <c:pt idx="229">
                  <c:v>43611</c:v>
                </c:pt>
                <c:pt idx="230">
                  <c:v>43618</c:v>
                </c:pt>
                <c:pt idx="231">
                  <c:v>43625</c:v>
                </c:pt>
                <c:pt idx="232">
                  <c:v>43632</c:v>
                </c:pt>
                <c:pt idx="233">
                  <c:v>43639</c:v>
                </c:pt>
                <c:pt idx="234">
                  <c:v>43646</c:v>
                </c:pt>
                <c:pt idx="235">
                  <c:v>43653</c:v>
                </c:pt>
                <c:pt idx="236">
                  <c:v>43660</c:v>
                </c:pt>
                <c:pt idx="237">
                  <c:v>43667</c:v>
                </c:pt>
                <c:pt idx="238">
                  <c:v>43674</c:v>
                </c:pt>
                <c:pt idx="239">
                  <c:v>43681</c:v>
                </c:pt>
                <c:pt idx="240">
                  <c:v>43688</c:v>
                </c:pt>
                <c:pt idx="241">
                  <c:v>43695</c:v>
                </c:pt>
                <c:pt idx="242">
                  <c:v>43702</c:v>
                </c:pt>
                <c:pt idx="243">
                  <c:v>43709</c:v>
                </c:pt>
                <c:pt idx="244">
                  <c:v>43716</c:v>
                </c:pt>
                <c:pt idx="245">
                  <c:v>43723</c:v>
                </c:pt>
                <c:pt idx="246">
                  <c:v>43730</c:v>
                </c:pt>
                <c:pt idx="247">
                  <c:v>43737</c:v>
                </c:pt>
                <c:pt idx="248">
                  <c:v>43744</c:v>
                </c:pt>
                <c:pt idx="249">
                  <c:v>43751</c:v>
                </c:pt>
                <c:pt idx="250">
                  <c:v>43758</c:v>
                </c:pt>
                <c:pt idx="251">
                  <c:v>43765</c:v>
                </c:pt>
                <c:pt idx="252">
                  <c:v>43772</c:v>
                </c:pt>
                <c:pt idx="253">
                  <c:v>43779</c:v>
                </c:pt>
                <c:pt idx="254">
                  <c:v>43786</c:v>
                </c:pt>
                <c:pt idx="255">
                  <c:v>43793</c:v>
                </c:pt>
                <c:pt idx="256">
                  <c:v>43800</c:v>
                </c:pt>
                <c:pt idx="257">
                  <c:v>43807</c:v>
                </c:pt>
                <c:pt idx="258">
                  <c:v>43814</c:v>
                </c:pt>
                <c:pt idx="259">
                  <c:v>43821</c:v>
                </c:pt>
                <c:pt idx="260">
                  <c:v>43828</c:v>
                </c:pt>
                <c:pt idx="261">
                  <c:v>43835</c:v>
                </c:pt>
                <c:pt idx="262">
                  <c:v>43842</c:v>
                </c:pt>
                <c:pt idx="263">
                  <c:v>43849</c:v>
                </c:pt>
                <c:pt idx="264">
                  <c:v>43856</c:v>
                </c:pt>
                <c:pt idx="265">
                  <c:v>43863</c:v>
                </c:pt>
                <c:pt idx="266">
                  <c:v>43870</c:v>
                </c:pt>
                <c:pt idx="267">
                  <c:v>43877</c:v>
                </c:pt>
                <c:pt idx="268">
                  <c:v>43884</c:v>
                </c:pt>
                <c:pt idx="269">
                  <c:v>43891</c:v>
                </c:pt>
                <c:pt idx="270">
                  <c:v>43898</c:v>
                </c:pt>
                <c:pt idx="271">
                  <c:v>43905</c:v>
                </c:pt>
                <c:pt idx="272">
                  <c:v>43912</c:v>
                </c:pt>
                <c:pt idx="273">
                  <c:v>43919</c:v>
                </c:pt>
              </c:numCache>
            </c:numRef>
          </c:cat>
          <c:val>
            <c:numRef>
              <c:f>'Listed&amp;Price'!$B$19:$B$292</c:f>
              <c:numCache>
                <c:formatCode>General</c:formatCode>
                <c:ptCount val="274"/>
                <c:pt idx="0">
                  <c:v>100</c:v>
                </c:pt>
                <c:pt idx="1">
                  <c:v>69.42</c:v>
                </c:pt>
                <c:pt idx="2">
                  <c:v>67.010000000000005</c:v>
                </c:pt>
                <c:pt idx="3">
                  <c:v>63.93</c:v>
                </c:pt>
                <c:pt idx="4">
                  <c:v>60.93</c:v>
                </c:pt>
                <c:pt idx="5">
                  <c:v>55.4</c:v>
                </c:pt>
                <c:pt idx="6">
                  <c:v>42.18</c:v>
                </c:pt>
                <c:pt idx="7">
                  <c:v>12.51</c:v>
                </c:pt>
                <c:pt idx="8">
                  <c:v>47.59</c:v>
                </c:pt>
                <c:pt idx="9">
                  <c:v>63.03</c:v>
                </c:pt>
                <c:pt idx="10">
                  <c:v>65.05</c:v>
                </c:pt>
                <c:pt idx="11">
                  <c:v>75.010000000000005</c:v>
                </c:pt>
                <c:pt idx="12">
                  <c:v>72.849999999999994</c:v>
                </c:pt>
                <c:pt idx="13">
                  <c:v>81.56</c:v>
                </c:pt>
                <c:pt idx="14">
                  <c:v>86.93</c:v>
                </c:pt>
                <c:pt idx="15">
                  <c:v>117.26</c:v>
                </c:pt>
                <c:pt idx="16">
                  <c:v>95.32</c:v>
                </c:pt>
                <c:pt idx="17">
                  <c:v>123.98</c:v>
                </c:pt>
                <c:pt idx="18">
                  <c:v>95.81</c:v>
                </c:pt>
                <c:pt idx="19">
                  <c:v>90.07</c:v>
                </c:pt>
                <c:pt idx="20">
                  <c:v>93.17</c:v>
                </c:pt>
                <c:pt idx="21">
                  <c:v>86.1</c:v>
                </c:pt>
                <c:pt idx="22">
                  <c:v>122.69</c:v>
                </c:pt>
                <c:pt idx="23">
                  <c:v>106.47</c:v>
                </c:pt>
                <c:pt idx="24">
                  <c:v>95.74</c:v>
                </c:pt>
                <c:pt idx="25">
                  <c:v>92.82</c:v>
                </c:pt>
                <c:pt idx="26">
                  <c:v>122.81</c:v>
                </c:pt>
                <c:pt idx="27">
                  <c:v>122.23</c:v>
                </c:pt>
                <c:pt idx="28">
                  <c:v>119.45</c:v>
                </c:pt>
                <c:pt idx="29">
                  <c:v>119.18</c:v>
                </c:pt>
                <c:pt idx="30">
                  <c:v>161.58000000000001</c:v>
                </c:pt>
                <c:pt idx="31">
                  <c:v>150.68</c:v>
                </c:pt>
                <c:pt idx="32">
                  <c:v>128.34</c:v>
                </c:pt>
                <c:pt idx="33">
                  <c:v>115.76</c:v>
                </c:pt>
                <c:pt idx="34">
                  <c:v>147.06</c:v>
                </c:pt>
                <c:pt idx="35">
                  <c:v>148.66999999999999</c:v>
                </c:pt>
                <c:pt idx="36">
                  <c:v>149.78</c:v>
                </c:pt>
                <c:pt idx="37">
                  <c:v>174.63</c:v>
                </c:pt>
                <c:pt idx="38">
                  <c:v>165.28</c:v>
                </c:pt>
                <c:pt idx="39">
                  <c:v>145.87</c:v>
                </c:pt>
                <c:pt idx="40">
                  <c:v>147.41</c:v>
                </c:pt>
                <c:pt idx="41">
                  <c:v>170.45</c:v>
                </c:pt>
                <c:pt idx="42">
                  <c:v>159.44</c:v>
                </c:pt>
                <c:pt idx="43">
                  <c:v>160.63999999999999</c:v>
                </c:pt>
                <c:pt idx="44">
                  <c:v>182.32</c:v>
                </c:pt>
                <c:pt idx="45">
                  <c:v>155.69</c:v>
                </c:pt>
                <c:pt idx="46">
                  <c:v>162.28</c:v>
                </c:pt>
                <c:pt idx="47">
                  <c:v>176.52</c:v>
                </c:pt>
                <c:pt idx="48">
                  <c:v>187.08</c:v>
                </c:pt>
                <c:pt idx="49">
                  <c:v>170.81</c:v>
                </c:pt>
                <c:pt idx="50">
                  <c:v>177.08</c:v>
                </c:pt>
                <c:pt idx="51">
                  <c:v>172.55</c:v>
                </c:pt>
                <c:pt idx="52">
                  <c:v>203.06</c:v>
                </c:pt>
                <c:pt idx="53">
                  <c:v>173.99</c:v>
                </c:pt>
                <c:pt idx="54">
                  <c:v>173.31</c:v>
                </c:pt>
                <c:pt idx="55">
                  <c:v>163.06</c:v>
                </c:pt>
                <c:pt idx="56">
                  <c:v>146.52000000000001</c:v>
                </c:pt>
                <c:pt idx="57">
                  <c:v>141.1</c:v>
                </c:pt>
                <c:pt idx="58">
                  <c:v>107.99</c:v>
                </c:pt>
                <c:pt idx="59">
                  <c:v>178.85</c:v>
                </c:pt>
                <c:pt idx="60">
                  <c:v>191.12</c:v>
                </c:pt>
                <c:pt idx="61">
                  <c:v>247.43</c:v>
                </c:pt>
                <c:pt idx="62">
                  <c:v>275.24</c:v>
                </c:pt>
                <c:pt idx="63">
                  <c:v>200.61</c:v>
                </c:pt>
                <c:pt idx="64">
                  <c:v>229.29</c:v>
                </c:pt>
                <c:pt idx="65">
                  <c:v>230.26</c:v>
                </c:pt>
                <c:pt idx="66">
                  <c:v>287.01</c:v>
                </c:pt>
                <c:pt idx="67">
                  <c:v>429.05</c:v>
                </c:pt>
                <c:pt idx="68">
                  <c:v>221.94</c:v>
                </c:pt>
                <c:pt idx="69">
                  <c:v>198.51</c:v>
                </c:pt>
                <c:pt idx="70">
                  <c:v>202.86</c:v>
                </c:pt>
                <c:pt idx="71">
                  <c:v>256.33999999999997</c:v>
                </c:pt>
                <c:pt idx="72">
                  <c:v>258.79000000000002</c:v>
                </c:pt>
                <c:pt idx="73">
                  <c:v>198.06</c:v>
                </c:pt>
                <c:pt idx="74">
                  <c:v>171.6</c:v>
                </c:pt>
                <c:pt idx="75">
                  <c:v>154.02000000000001</c:v>
                </c:pt>
                <c:pt idx="76">
                  <c:v>153.47999999999999</c:v>
                </c:pt>
                <c:pt idx="77">
                  <c:v>152.22</c:v>
                </c:pt>
                <c:pt idx="78">
                  <c:v>163.09</c:v>
                </c:pt>
                <c:pt idx="79">
                  <c:v>174.87</c:v>
                </c:pt>
                <c:pt idx="80">
                  <c:v>181.89</c:v>
                </c:pt>
                <c:pt idx="81">
                  <c:v>154.96</c:v>
                </c:pt>
                <c:pt idx="82">
                  <c:v>143.9</c:v>
                </c:pt>
                <c:pt idx="83">
                  <c:v>111.37</c:v>
                </c:pt>
                <c:pt idx="84">
                  <c:v>152.84</c:v>
                </c:pt>
                <c:pt idx="85">
                  <c:v>160.61000000000001</c:v>
                </c:pt>
                <c:pt idx="86">
                  <c:v>156.63</c:v>
                </c:pt>
                <c:pt idx="87">
                  <c:v>173.88</c:v>
                </c:pt>
                <c:pt idx="88">
                  <c:v>165.02</c:v>
                </c:pt>
                <c:pt idx="89">
                  <c:v>132.43</c:v>
                </c:pt>
                <c:pt idx="90">
                  <c:v>161.28</c:v>
                </c:pt>
                <c:pt idx="91">
                  <c:v>157.13</c:v>
                </c:pt>
                <c:pt idx="92">
                  <c:v>161.65</c:v>
                </c:pt>
                <c:pt idx="93">
                  <c:v>175.62</c:v>
                </c:pt>
                <c:pt idx="94">
                  <c:v>149.28</c:v>
                </c:pt>
                <c:pt idx="95">
                  <c:v>132.38</c:v>
                </c:pt>
                <c:pt idx="96">
                  <c:v>151.22999999999999</c:v>
                </c:pt>
                <c:pt idx="97">
                  <c:v>175.1</c:v>
                </c:pt>
                <c:pt idx="98">
                  <c:v>174.57</c:v>
                </c:pt>
                <c:pt idx="99">
                  <c:v>145.16999999999999</c:v>
                </c:pt>
                <c:pt idx="100">
                  <c:v>170.19</c:v>
                </c:pt>
                <c:pt idx="101">
                  <c:v>164.35</c:v>
                </c:pt>
                <c:pt idx="102">
                  <c:v>169.11</c:v>
                </c:pt>
                <c:pt idx="103">
                  <c:v>138.69999999999999</c:v>
                </c:pt>
                <c:pt idx="104">
                  <c:v>130.16999999999999</c:v>
                </c:pt>
                <c:pt idx="105">
                  <c:v>130.01</c:v>
                </c:pt>
                <c:pt idx="106">
                  <c:v>117.95</c:v>
                </c:pt>
                <c:pt idx="107">
                  <c:v>147.82</c:v>
                </c:pt>
                <c:pt idx="108">
                  <c:v>40.11</c:v>
                </c:pt>
                <c:pt idx="109">
                  <c:v>73.709999999999994</c:v>
                </c:pt>
                <c:pt idx="110">
                  <c:v>176.48</c:v>
                </c:pt>
                <c:pt idx="111">
                  <c:v>175.03</c:v>
                </c:pt>
                <c:pt idx="112">
                  <c:v>205.02</c:v>
                </c:pt>
                <c:pt idx="113">
                  <c:v>222.52</c:v>
                </c:pt>
                <c:pt idx="114">
                  <c:v>224.44</c:v>
                </c:pt>
                <c:pt idx="115">
                  <c:v>233.36</c:v>
                </c:pt>
                <c:pt idx="116">
                  <c:v>229.44</c:v>
                </c:pt>
                <c:pt idx="117">
                  <c:v>215.34</c:v>
                </c:pt>
                <c:pt idx="118">
                  <c:v>227.53</c:v>
                </c:pt>
                <c:pt idx="119">
                  <c:v>175.44</c:v>
                </c:pt>
                <c:pt idx="120">
                  <c:v>137.15</c:v>
                </c:pt>
                <c:pt idx="121">
                  <c:v>160.97999999999999</c:v>
                </c:pt>
                <c:pt idx="122">
                  <c:v>164.78</c:v>
                </c:pt>
                <c:pt idx="123">
                  <c:v>188.81</c:v>
                </c:pt>
                <c:pt idx="124">
                  <c:v>160.04</c:v>
                </c:pt>
                <c:pt idx="125">
                  <c:v>175.99</c:v>
                </c:pt>
                <c:pt idx="126">
                  <c:v>205.79</c:v>
                </c:pt>
                <c:pt idx="127">
                  <c:v>190.15</c:v>
                </c:pt>
                <c:pt idx="128">
                  <c:v>172.09</c:v>
                </c:pt>
                <c:pt idx="129">
                  <c:v>187.54</c:v>
                </c:pt>
                <c:pt idx="130">
                  <c:v>177.06</c:v>
                </c:pt>
                <c:pt idx="131">
                  <c:v>180.91</c:v>
                </c:pt>
                <c:pt idx="132">
                  <c:v>182.38</c:v>
                </c:pt>
                <c:pt idx="133">
                  <c:v>200.51</c:v>
                </c:pt>
                <c:pt idx="134">
                  <c:v>176.93</c:v>
                </c:pt>
                <c:pt idx="135">
                  <c:v>207.35</c:v>
                </c:pt>
                <c:pt idx="136">
                  <c:v>188.23</c:v>
                </c:pt>
                <c:pt idx="137">
                  <c:v>226.9</c:v>
                </c:pt>
                <c:pt idx="138">
                  <c:v>217.27</c:v>
                </c:pt>
                <c:pt idx="139">
                  <c:v>261.3</c:v>
                </c:pt>
                <c:pt idx="140">
                  <c:v>256.41000000000003</c:v>
                </c:pt>
                <c:pt idx="141">
                  <c:v>234.12</c:v>
                </c:pt>
                <c:pt idx="142">
                  <c:v>254.24</c:v>
                </c:pt>
                <c:pt idx="143">
                  <c:v>209.33</c:v>
                </c:pt>
                <c:pt idx="144">
                  <c:v>124.84</c:v>
                </c:pt>
                <c:pt idx="145">
                  <c:v>241.6</c:v>
                </c:pt>
                <c:pt idx="146">
                  <c:v>277.39</c:v>
                </c:pt>
                <c:pt idx="147">
                  <c:v>242.24</c:v>
                </c:pt>
                <c:pt idx="148">
                  <c:v>248.62</c:v>
                </c:pt>
                <c:pt idx="149">
                  <c:v>230.32</c:v>
                </c:pt>
                <c:pt idx="150">
                  <c:v>234.74</c:v>
                </c:pt>
                <c:pt idx="151">
                  <c:v>239.41</c:v>
                </c:pt>
                <c:pt idx="152">
                  <c:v>254.2</c:v>
                </c:pt>
                <c:pt idx="153">
                  <c:v>260.58999999999997</c:v>
                </c:pt>
                <c:pt idx="154">
                  <c:v>230.79</c:v>
                </c:pt>
                <c:pt idx="155">
                  <c:v>210.06</c:v>
                </c:pt>
                <c:pt idx="156">
                  <c:v>170.49</c:v>
                </c:pt>
                <c:pt idx="157">
                  <c:v>228.42</c:v>
                </c:pt>
                <c:pt idx="158">
                  <c:v>177.02</c:v>
                </c:pt>
                <c:pt idx="159">
                  <c:v>169.33</c:v>
                </c:pt>
                <c:pt idx="160">
                  <c:v>145.09</c:v>
                </c:pt>
                <c:pt idx="161">
                  <c:v>153.16999999999999</c:v>
                </c:pt>
                <c:pt idx="162">
                  <c:v>113.44</c:v>
                </c:pt>
                <c:pt idx="163">
                  <c:v>85.45</c:v>
                </c:pt>
                <c:pt idx="164">
                  <c:v>105.92</c:v>
                </c:pt>
                <c:pt idx="165">
                  <c:v>160.26</c:v>
                </c:pt>
                <c:pt idx="166">
                  <c:v>166.35</c:v>
                </c:pt>
                <c:pt idx="167">
                  <c:v>148.63</c:v>
                </c:pt>
                <c:pt idx="168">
                  <c:v>145.38999999999999</c:v>
                </c:pt>
                <c:pt idx="169">
                  <c:v>215.52</c:v>
                </c:pt>
                <c:pt idx="170">
                  <c:v>240.37</c:v>
                </c:pt>
                <c:pt idx="171">
                  <c:v>270.29000000000002</c:v>
                </c:pt>
                <c:pt idx="172">
                  <c:v>214.16</c:v>
                </c:pt>
                <c:pt idx="173">
                  <c:v>229.18</c:v>
                </c:pt>
                <c:pt idx="174">
                  <c:v>297.31</c:v>
                </c:pt>
                <c:pt idx="175">
                  <c:v>276.01</c:v>
                </c:pt>
                <c:pt idx="176">
                  <c:v>246.26</c:v>
                </c:pt>
                <c:pt idx="177">
                  <c:v>213.29</c:v>
                </c:pt>
                <c:pt idx="178">
                  <c:v>262.75</c:v>
                </c:pt>
                <c:pt idx="179">
                  <c:v>241.48</c:v>
                </c:pt>
                <c:pt idx="180">
                  <c:v>170.88</c:v>
                </c:pt>
                <c:pt idx="181">
                  <c:v>159.52000000000001</c:v>
                </c:pt>
                <c:pt idx="182">
                  <c:v>185.31</c:v>
                </c:pt>
                <c:pt idx="183">
                  <c:v>247.82</c:v>
                </c:pt>
                <c:pt idx="184">
                  <c:v>219.6</c:v>
                </c:pt>
                <c:pt idx="185">
                  <c:v>168.28</c:v>
                </c:pt>
                <c:pt idx="186">
                  <c:v>215.95</c:v>
                </c:pt>
                <c:pt idx="187">
                  <c:v>295</c:v>
                </c:pt>
                <c:pt idx="188">
                  <c:v>256.2</c:v>
                </c:pt>
                <c:pt idx="189">
                  <c:v>240.75</c:v>
                </c:pt>
                <c:pt idx="190">
                  <c:v>225.21</c:v>
                </c:pt>
                <c:pt idx="191">
                  <c:v>265.79000000000002</c:v>
                </c:pt>
                <c:pt idx="192">
                  <c:v>316.38</c:v>
                </c:pt>
                <c:pt idx="193">
                  <c:v>241.38</c:v>
                </c:pt>
                <c:pt idx="194">
                  <c:v>187.42</c:v>
                </c:pt>
                <c:pt idx="195">
                  <c:v>196.36</c:v>
                </c:pt>
                <c:pt idx="196">
                  <c:v>267.20999999999998</c:v>
                </c:pt>
                <c:pt idx="197">
                  <c:v>271.85000000000002</c:v>
                </c:pt>
                <c:pt idx="198">
                  <c:v>202.73</c:v>
                </c:pt>
                <c:pt idx="199">
                  <c:v>157.53</c:v>
                </c:pt>
                <c:pt idx="200">
                  <c:v>230.34</c:v>
                </c:pt>
                <c:pt idx="201">
                  <c:v>232.59</c:v>
                </c:pt>
                <c:pt idx="202">
                  <c:v>191.25</c:v>
                </c:pt>
                <c:pt idx="203">
                  <c:v>227.49</c:v>
                </c:pt>
                <c:pt idx="204">
                  <c:v>195.64</c:v>
                </c:pt>
                <c:pt idx="205">
                  <c:v>219.77</c:v>
                </c:pt>
                <c:pt idx="206">
                  <c:v>231.24</c:v>
                </c:pt>
                <c:pt idx="207">
                  <c:v>205.38</c:v>
                </c:pt>
                <c:pt idx="208">
                  <c:v>180.46</c:v>
                </c:pt>
                <c:pt idx="209">
                  <c:v>256.45999999999998</c:v>
                </c:pt>
                <c:pt idx="210">
                  <c:v>241.03</c:v>
                </c:pt>
                <c:pt idx="211">
                  <c:v>191.46</c:v>
                </c:pt>
                <c:pt idx="212">
                  <c:v>142.22999999999999</c:v>
                </c:pt>
                <c:pt idx="213">
                  <c:v>118.95</c:v>
                </c:pt>
                <c:pt idx="214">
                  <c:v>85.38</c:v>
                </c:pt>
                <c:pt idx="215">
                  <c:v>231.37</c:v>
                </c:pt>
                <c:pt idx="216">
                  <c:v>208.48</c:v>
                </c:pt>
                <c:pt idx="217">
                  <c:v>238.76</c:v>
                </c:pt>
                <c:pt idx="218">
                  <c:v>207.6</c:v>
                </c:pt>
                <c:pt idx="219">
                  <c:v>191.12</c:v>
                </c:pt>
                <c:pt idx="220">
                  <c:v>189.1</c:v>
                </c:pt>
                <c:pt idx="221">
                  <c:v>162.09</c:v>
                </c:pt>
                <c:pt idx="222">
                  <c:v>218.06</c:v>
                </c:pt>
                <c:pt idx="223">
                  <c:v>177.11</c:v>
                </c:pt>
                <c:pt idx="224">
                  <c:v>197.34</c:v>
                </c:pt>
                <c:pt idx="225">
                  <c:v>159.54</c:v>
                </c:pt>
                <c:pt idx="226">
                  <c:v>217.73</c:v>
                </c:pt>
                <c:pt idx="227">
                  <c:v>245.07</c:v>
                </c:pt>
                <c:pt idx="228">
                  <c:v>187.67</c:v>
                </c:pt>
                <c:pt idx="229">
                  <c:v>176.28</c:v>
                </c:pt>
                <c:pt idx="230">
                  <c:v>218.59</c:v>
                </c:pt>
                <c:pt idx="231">
                  <c:v>232.33</c:v>
                </c:pt>
                <c:pt idx="232">
                  <c:v>197.13</c:v>
                </c:pt>
                <c:pt idx="233">
                  <c:v>177.11</c:v>
                </c:pt>
                <c:pt idx="234">
                  <c:v>177.05</c:v>
                </c:pt>
                <c:pt idx="235">
                  <c:v>272.06</c:v>
                </c:pt>
                <c:pt idx="236">
                  <c:v>179.02</c:v>
                </c:pt>
                <c:pt idx="237">
                  <c:v>138.83000000000001</c:v>
                </c:pt>
                <c:pt idx="238">
                  <c:v>138.38</c:v>
                </c:pt>
                <c:pt idx="239">
                  <c:v>182.34</c:v>
                </c:pt>
                <c:pt idx="240">
                  <c:v>214.25</c:v>
                </c:pt>
                <c:pt idx="241">
                  <c:v>185.17</c:v>
                </c:pt>
                <c:pt idx="242">
                  <c:v>145.37</c:v>
                </c:pt>
                <c:pt idx="243">
                  <c:v>212.37</c:v>
                </c:pt>
                <c:pt idx="244">
                  <c:v>182.8</c:v>
                </c:pt>
                <c:pt idx="245">
                  <c:v>119.57</c:v>
                </c:pt>
                <c:pt idx="246">
                  <c:v>128.51</c:v>
                </c:pt>
                <c:pt idx="247">
                  <c:v>130.46</c:v>
                </c:pt>
                <c:pt idx="248">
                  <c:v>156.35</c:v>
                </c:pt>
                <c:pt idx="249">
                  <c:v>139.68</c:v>
                </c:pt>
                <c:pt idx="250">
                  <c:v>138.31</c:v>
                </c:pt>
                <c:pt idx="251">
                  <c:v>140.55000000000001</c:v>
                </c:pt>
                <c:pt idx="252">
                  <c:v>172.18</c:v>
                </c:pt>
                <c:pt idx="253">
                  <c:v>180.69</c:v>
                </c:pt>
                <c:pt idx="254">
                  <c:v>164.02</c:v>
                </c:pt>
                <c:pt idx="255">
                  <c:v>144.19</c:v>
                </c:pt>
                <c:pt idx="256">
                  <c:v>131.44999999999999</c:v>
                </c:pt>
                <c:pt idx="257">
                  <c:v>139.04</c:v>
                </c:pt>
                <c:pt idx="258">
                  <c:v>114.59</c:v>
                </c:pt>
                <c:pt idx="259">
                  <c:v>100.21</c:v>
                </c:pt>
                <c:pt idx="260">
                  <c:v>90.09</c:v>
                </c:pt>
                <c:pt idx="261">
                  <c:v>128.35</c:v>
                </c:pt>
                <c:pt idx="262">
                  <c:v>122.48</c:v>
                </c:pt>
                <c:pt idx="263">
                  <c:v>116.76</c:v>
                </c:pt>
                <c:pt idx="264">
                  <c:v>73.97</c:v>
                </c:pt>
                <c:pt idx="265">
                  <c:v>56.81</c:v>
                </c:pt>
                <c:pt idx="266">
                  <c:v>71.38</c:v>
                </c:pt>
                <c:pt idx="267">
                  <c:v>74.7</c:v>
                </c:pt>
                <c:pt idx="268">
                  <c:v>83.79</c:v>
                </c:pt>
                <c:pt idx="269">
                  <c:v>111.18</c:v>
                </c:pt>
                <c:pt idx="270">
                  <c:v>131.33000000000001</c:v>
                </c:pt>
                <c:pt idx="271">
                  <c:v>132.62</c:v>
                </c:pt>
                <c:pt idx="272">
                  <c:v>136.62</c:v>
                </c:pt>
                <c:pt idx="273">
                  <c:v>140.62</c:v>
                </c:pt>
              </c:numCache>
            </c:numRef>
          </c:val>
          <c:extLst>
            <c:ext xmlns:c16="http://schemas.microsoft.com/office/drawing/2014/chart" uri="{C3380CC4-5D6E-409C-BE32-E72D297353CC}">
              <c16:uniqueId val="{00000000-536F-43A3-99AA-9311A91EAF63}"/>
            </c:ext>
          </c:extLst>
        </c:ser>
        <c:dLbls>
          <c:showLegendKey val="0"/>
          <c:showVal val="0"/>
          <c:showCatName val="0"/>
          <c:showSerName val="0"/>
          <c:showPercent val="0"/>
          <c:showBubbleSize val="0"/>
        </c:dLbls>
        <c:gapWidth val="219"/>
        <c:axId val="-726885392"/>
        <c:axId val="-726810864"/>
      </c:barChart>
      <c:lineChart>
        <c:grouping val="standard"/>
        <c:varyColors val="0"/>
        <c:ser>
          <c:idx val="1"/>
          <c:order val="1"/>
          <c:tx>
            <c:strRef>
              <c:f>'Listed&amp;Price'!$C$18</c:f>
              <c:strCache>
                <c:ptCount val="1"/>
                <c:pt idx="0">
                  <c:v>Listed for-sale Price Index(RHS)</c:v>
                </c:pt>
              </c:strCache>
            </c:strRef>
          </c:tx>
          <c:spPr>
            <a:ln w="12700" cap="rnd">
              <a:solidFill>
                <a:srgbClr val="C00000"/>
              </a:solidFill>
              <a:round/>
            </a:ln>
            <a:effectLst/>
          </c:spPr>
          <c:marker>
            <c:symbol val="none"/>
          </c:marker>
          <c:cat>
            <c:numRef>
              <c:f>'Listed&amp;Price'!$A$19:$A$292</c:f>
              <c:numCache>
                <c:formatCode>m/d/yyyy</c:formatCode>
                <c:ptCount val="274"/>
                <c:pt idx="0">
                  <c:v>42008</c:v>
                </c:pt>
                <c:pt idx="1">
                  <c:v>42015</c:v>
                </c:pt>
                <c:pt idx="2">
                  <c:v>42022</c:v>
                </c:pt>
                <c:pt idx="3">
                  <c:v>42029</c:v>
                </c:pt>
                <c:pt idx="4">
                  <c:v>42036</c:v>
                </c:pt>
                <c:pt idx="5">
                  <c:v>42043</c:v>
                </c:pt>
                <c:pt idx="6">
                  <c:v>42050</c:v>
                </c:pt>
                <c:pt idx="7">
                  <c:v>42057</c:v>
                </c:pt>
                <c:pt idx="8">
                  <c:v>42064</c:v>
                </c:pt>
                <c:pt idx="9">
                  <c:v>42071</c:v>
                </c:pt>
                <c:pt idx="10">
                  <c:v>42078</c:v>
                </c:pt>
                <c:pt idx="11">
                  <c:v>42085</c:v>
                </c:pt>
                <c:pt idx="12">
                  <c:v>42092</c:v>
                </c:pt>
                <c:pt idx="13">
                  <c:v>42099</c:v>
                </c:pt>
                <c:pt idx="14">
                  <c:v>42106</c:v>
                </c:pt>
                <c:pt idx="15">
                  <c:v>42113</c:v>
                </c:pt>
                <c:pt idx="16">
                  <c:v>42120</c:v>
                </c:pt>
                <c:pt idx="17">
                  <c:v>42127</c:v>
                </c:pt>
                <c:pt idx="18">
                  <c:v>42134</c:v>
                </c:pt>
                <c:pt idx="19">
                  <c:v>42141</c:v>
                </c:pt>
                <c:pt idx="20">
                  <c:v>42148</c:v>
                </c:pt>
                <c:pt idx="21">
                  <c:v>42155</c:v>
                </c:pt>
                <c:pt idx="22">
                  <c:v>42162</c:v>
                </c:pt>
                <c:pt idx="23">
                  <c:v>42169</c:v>
                </c:pt>
                <c:pt idx="24">
                  <c:v>42176</c:v>
                </c:pt>
                <c:pt idx="25">
                  <c:v>42183</c:v>
                </c:pt>
                <c:pt idx="26">
                  <c:v>42190</c:v>
                </c:pt>
                <c:pt idx="27">
                  <c:v>42197</c:v>
                </c:pt>
                <c:pt idx="28">
                  <c:v>42204</c:v>
                </c:pt>
                <c:pt idx="29">
                  <c:v>42211</c:v>
                </c:pt>
                <c:pt idx="30">
                  <c:v>42218</c:v>
                </c:pt>
                <c:pt idx="31">
                  <c:v>42225</c:v>
                </c:pt>
                <c:pt idx="32">
                  <c:v>42232</c:v>
                </c:pt>
                <c:pt idx="33">
                  <c:v>42239</c:v>
                </c:pt>
                <c:pt idx="34">
                  <c:v>42246</c:v>
                </c:pt>
                <c:pt idx="35">
                  <c:v>42253</c:v>
                </c:pt>
                <c:pt idx="36">
                  <c:v>42260</c:v>
                </c:pt>
                <c:pt idx="37">
                  <c:v>42267</c:v>
                </c:pt>
                <c:pt idx="38">
                  <c:v>42274</c:v>
                </c:pt>
                <c:pt idx="39">
                  <c:v>42281</c:v>
                </c:pt>
                <c:pt idx="40">
                  <c:v>42288</c:v>
                </c:pt>
                <c:pt idx="41">
                  <c:v>42295</c:v>
                </c:pt>
                <c:pt idx="42">
                  <c:v>42302</c:v>
                </c:pt>
                <c:pt idx="43">
                  <c:v>42309</c:v>
                </c:pt>
                <c:pt idx="44">
                  <c:v>42316</c:v>
                </c:pt>
                <c:pt idx="45">
                  <c:v>42323</c:v>
                </c:pt>
                <c:pt idx="46">
                  <c:v>42330</c:v>
                </c:pt>
                <c:pt idx="47">
                  <c:v>42337</c:v>
                </c:pt>
                <c:pt idx="48">
                  <c:v>42344</c:v>
                </c:pt>
                <c:pt idx="49">
                  <c:v>42351</c:v>
                </c:pt>
                <c:pt idx="50">
                  <c:v>42358</c:v>
                </c:pt>
                <c:pt idx="51">
                  <c:v>42365</c:v>
                </c:pt>
                <c:pt idx="52">
                  <c:v>42372</c:v>
                </c:pt>
                <c:pt idx="53">
                  <c:v>42379</c:v>
                </c:pt>
                <c:pt idx="54">
                  <c:v>42386</c:v>
                </c:pt>
                <c:pt idx="55">
                  <c:v>42393</c:v>
                </c:pt>
                <c:pt idx="56">
                  <c:v>42400</c:v>
                </c:pt>
                <c:pt idx="57">
                  <c:v>42407</c:v>
                </c:pt>
                <c:pt idx="58">
                  <c:v>42414</c:v>
                </c:pt>
                <c:pt idx="59">
                  <c:v>42421</c:v>
                </c:pt>
                <c:pt idx="60">
                  <c:v>42428</c:v>
                </c:pt>
                <c:pt idx="61">
                  <c:v>42435</c:v>
                </c:pt>
                <c:pt idx="62">
                  <c:v>42442</c:v>
                </c:pt>
                <c:pt idx="63">
                  <c:v>42449</c:v>
                </c:pt>
                <c:pt idx="64">
                  <c:v>42456</c:v>
                </c:pt>
                <c:pt idx="65">
                  <c:v>42463</c:v>
                </c:pt>
                <c:pt idx="66">
                  <c:v>42470</c:v>
                </c:pt>
                <c:pt idx="67">
                  <c:v>42477</c:v>
                </c:pt>
                <c:pt idx="68">
                  <c:v>42484</c:v>
                </c:pt>
                <c:pt idx="69">
                  <c:v>42491</c:v>
                </c:pt>
                <c:pt idx="70">
                  <c:v>42498</c:v>
                </c:pt>
                <c:pt idx="71">
                  <c:v>42505</c:v>
                </c:pt>
                <c:pt idx="72">
                  <c:v>42512</c:v>
                </c:pt>
                <c:pt idx="73">
                  <c:v>42519</c:v>
                </c:pt>
                <c:pt idx="74">
                  <c:v>42526</c:v>
                </c:pt>
                <c:pt idx="75">
                  <c:v>42533</c:v>
                </c:pt>
                <c:pt idx="76">
                  <c:v>42540</c:v>
                </c:pt>
                <c:pt idx="77">
                  <c:v>42547</c:v>
                </c:pt>
                <c:pt idx="78">
                  <c:v>42554</c:v>
                </c:pt>
                <c:pt idx="79">
                  <c:v>42561</c:v>
                </c:pt>
                <c:pt idx="80">
                  <c:v>42568</c:v>
                </c:pt>
                <c:pt idx="81">
                  <c:v>42575</c:v>
                </c:pt>
                <c:pt idx="82">
                  <c:v>42582</c:v>
                </c:pt>
                <c:pt idx="83">
                  <c:v>42589</c:v>
                </c:pt>
                <c:pt idx="84">
                  <c:v>42596</c:v>
                </c:pt>
                <c:pt idx="85">
                  <c:v>42603</c:v>
                </c:pt>
                <c:pt idx="86">
                  <c:v>42610</c:v>
                </c:pt>
                <c:pt idx="87">
                  <c:v>42617</c:v>
                </c:pt>
                <c:pt idx="88">
                  <c:v>42624</c:v>
                </c:pt>
                <c:pt idx="89">
                  <c:v>42631</c:v>
                </c:pt>
                <c:pt idx="90">
                  <c:v>42638</c:v>
                </c:pt>
                <c:pt idx="91">
                  <c:v>42645</c:v>
                </c:pt>
                <c:pt idx="92">
                  <c:v>42652</c:v>
                </c:pt>
                <c:pt idx="93">
                  <c:v>42659</c:v>
                </c:pt>
                <c:pt idx="94">
                  <c:v>42666</c:v>
                </c:pt>
                <c:pt idx="95">
                  <c:v>42673</c:v>
                </c:pt>
                <c:pt idx="96">
                  <c:v>42680</c:v>
                </c:pt>
                <c:pt idx="97">
                  <c:v>42687</c:v>
                </c:pt>
                <c:pt idx="98">
                  <c:v>42694</c:v>
                </c:pt>
                <c:pt idx="99">
                  <c:v>42701</c:v>
                </c:pt>
                <c:pt idx="100">
                  <c:v>42708</c:v>
                </c:pt>
                <c:pt idx="101">
                  <c:v>42715</c:v>
                </c:pt>
                <c:pt idx="102">
                  <c:v>42722</c:v>
                </c:pt>
                <c:pt idx="103">
                  <c:v>42729</c:v>
                </c:pt>
                <c:pt idx="104">
                  <c:v>42736</c:v>
                </c:pt>
                <c:pt idx="105">
                  <c:v>42743</c:v>
                </c:pt>
                <c:pt idx="106">
                  <c:v>42750</c:v>
                </c:pt>
                <c:pt idx="107">
                  <c:v>42757</c:v>
                </c:pt>
                <c:pt idx="108">
                  <c:v>42764</c:v>
                </c:pt>
                <c:pt idx="109">
                  <c:v>42771</c:v>
                </c:pt>
                <c:pt idx="110">
                  <c:v>42778</c:v>
                </c:pt>
                <c:pt idx="111">
                  <c:v>42785</c:v>
                </c:pt>
                <c:pt idx="112">
                  <c:v>42792</c:v>
                </c:pt>
                <c:pt idx="113">
                  <c:v>42799</c:v>
                </c:pt>
                <c:pt idx="114">
                  <c:v>42806</c:v>
                </c:pt>
                <c:pt idx="115">
                  <c:v>42813</c:v>
                </c:pt>
                <c:pt idx="116">
                  <c:v>42820</c:v>
                </c:pt>
                <c:pt idx="117">
                  <c:v>42827</c:v>
                </c:pt>
                <c:pt idx="118">
                  <c:v>42834</c:v>
                </c:pt>
                <c:pt idx="119">
                  <c:v>42841</c:v>
                </c:pt>
                <c:pt idx="120">
                  <c:v>42848</c:v>
                </c:pt>
                <c:pt idx="121">
                  <c:v>42855</c:v>
                </c:pt>
                <c:pt idx="122">
                  <c:v>42862</c:v>
                </c:pt>
                <c:pt idx="123">
                  <c:v>42869</c:v>
                </c:pt>
                <c:pt idx="124">
                  <c:v>42876</c:v>
                </c:pt>
                <c:pt idx="125">
                  <c:v>42883</c:v>
                </c:pt>
                <c:pt idx="126">
                  <c:v>42890</c:v>
                </c:pt>
                <c:pt idx="127">
                  <c:v>42897</c:v>
                </c:pt>
                <c:pt idx="128">
                  <c:v>42904</c:v>
                </c:pt>
                <c:pt idx="129">
                  <c:v>42911</c:v>
                </c:pt>
                <c:pt idx="130">
                  <c:v>42918</c:v>
                </c:pt>
                <c:pt idx="131">
                  <c:v>42925</c:v>
                </c:pt>
                <c:pt idx="132">
                  <c:v>42932</c:v>
                </c:pt>
                <c:pt idx="133">
                  <c:v>42939</c:v>
                </c:pt>
                <c:pt idx="134">
                  <c:v>42946</c:v>
                </c:pt>
                <c:pt idx="135">
                  <c:v>42953</c:v>
                </c:pt>
                <c:pt idx="136">
                  <c:v>42960</c:v>
                </c:pt>
                <c:pt idx="137">
                  <c:v>42967</c:v>
                </c:pt>
                <c:pt idx="138">
                  <c:v>42974</c:v>
                </c:pt>
                <c:pt idx="139">
                  <c:v>42981</c:v>
                </c:pt>
                <c:pt idx="140">
                  <c:v>42988</c:v>
                </c:pt>
                <c:pt idx="141">
                  <c:v>42995</c:v>
                </c:pt>
                <c:pt idx="142">
                  <c:v>43002</c:v>
                </c:pt>
                <c:pt idx="143">
                  <c:v>43009</c:v>
                </c:pt>
                <c:pt idx="144">
                  <c:v>43016</c:v>
                </c:pt>
                <c:pt idx="145">
                  <c:v>43023</c:v>
                </c:pt>
                <c:pt idx="146">
                  <c:v>43030</c:v>
                </c:pt>
                <c:pt idx="147">
                  <c:v>43037</c:v>
                </c:pt>
                <c:pt idx="148">
                  <c:v>43044</c:v>
                </c:pt>
                <c:pt idx="149">
                  <c:v>43051</c:v>
                </c:pt>
                <c:pt idx="150">
                  <c:v>43058</c:v>
                </c:pt>
                <c:pt idx="151">
                  <c:v>43065</c:v>
                </c:pt>
                <c:pt idx="152">
                  <c:v>43072</c:v>
                </c:pt>
                <c:pt idx="153">
                  <c:v>43079</c:v>
                </c:pt>
                <c:pt idx="154">
                  <c:v>43086</c:v>
                </c:pt>
                <c:pt idx="155">
                  <c:v>43093</c:v>
                </c:pt>
                <c:pt idx="156">
                  <c:v>43100</c:v>
                </c:pt>
                <c:pt idx="157">
                  <c:v>43107</c:v>
                </c:pt>
                <c:pt idx="158">
                  <c:v>43114</c:v>
                </c:pt>
                <c:pt idx="159">
                  <c:v>43121</c:v>
                </c:pt>
                <c:pt idx="160">
                  <c:v>43128</c:v>
                </c:pt>
                <c:pt idx="161">
                  <c:v>43135</c:v>
                </c:pt>
                <c:pt idx="162">
                  <c:v>43142</c:v>
                </c:pt>
                <c:pt idx="163">
                  <c:v>43149</c:v>
                </c:pt>
                <c:pt idx="164">
                  <c:v>43156</c:v>
                </c:pt>
                <c:pt idx="165">
                  <c:v>43163</c:v>
                </c:pt>
                <c:pt idx="166">
                  <c:v>43170</c:v>
                </c:pt>
                <c:pt idx="167">
                  <c:v>43177</c:v>
                </c:pt>
                <c:pt idx="168">
                  <c:v>43184</c:v>
                </c:pt>
                <c:pt idx="169">
                  <c:v>43191</c:v>
                </c:pt>
                <c:pt idx="170">
                  <c:v>43198</c:v>
                </c:pt>
                <c:pt idx="171">
                  <c:v>43205</c:v>
                </c:pt>
                <c:pt idx="172">
                  <c:v>43212</c:v>
                </c:pt>
                <c:pt idx="173">
                  <c:v>43219</c:v>
                </c:pt>
                <c:pt idx="174">
                  <c:v>43226</c:v>
                </c:pt>
                <c:pt idx="175">
                  <c:v>43233</c:v>
                </c:pt>
                <c:pt idx="176">
                  <c:v>43240</c:v>
                </c:pt>
                <c:pt idx="177">
                  <c:v>43247</c:v>
                </c:pt>
                <c:pt idx="178">
                  <c:v>43254</c:v>
                </c:pt>
                <c:pt idx="179">
                  <c:v>43261</c:v>
                </c:pt>
                <c:pt idx="180">
                  <c:v>43268</c:v>
                </c:pt>
                <c:pt idx="181">
                  <c:v>43275</c:v>
                </c:pt>
                <c:pt idx="182">
                  <c:v>43282</c:v>
                </c:pt>
                <c:pt idx="183">
                  <c:v>43289</c:v>
                </c:pt>
                <c:pt idx="184">
                  <c:v>43296</c:v>
                </c:pt>
                <c:pt idx="185">
                  <c:v>43303</c:v>
                </c:pt>
                <c:pt idx="186">
                  <c:v>43310</c:v>
                </c:pt>
                <c:pt idx="187">
                  <c:v>43317</c:v>
                </c:pt>
                <c:pt idx="188">
                  <c:v>43324</c:v>
                </c:pt>
                <c:pt idx="189">
                  <c:v>43331</c:v>
                </c:pt>
                <c:pt idx="190">
                  <c:v>43338</c:v>
                </c:pt>
                <c:pt idx="191">
                  <c:v>43345</c:v>
                </c:pt>
                <c:pt idx="192">
                  <c:v>43352</c:v>
                </c:pt>
                <c:pt idx="193">
                  <c:v>43359</c:v>
                </c:pt>
                <c:pt idx="194">
                  <c:v>43366</c:v>
                </c:pt>
                <c:pt idx="195">
                  <c:v>43373</c:v>
                </c:pt>
                <c:pt idx="196">
                  <c:v>43380</c:v>
                </c:pt>
                <c:pt idx="197">
                  <c:v>43387</c:v>
                </c:pt>
                <c:pt idx="198">
                  <c:v>43394</c:v>
                </c:pt>
                <c:pt idx="199">
                  <c:v>43401</c:v>
                </c:pt>
                <c:pt idx="200">
                  <c:v>43408</c:v>
                </c:pt>
                <c:pt idx="201">
                  <c:v>43415</c:v>
                </c:pt>
                <c:pt idx="202">
                  <c:v>43422</c:v>
                </c:pt>
                <c:pt idx="203">
                  <c:v>43429</c:v>
                </c:pt>
                <c:pt idx="204">
                  <c:v>43436</c:v>
                </c:pt>
                <c:pt idx="205">
                  <c:v>43443</c:v>
                </c:pt>
                <c:pt idx="206">
                  <c:v>43450</c:v>
                </c:pt>
                <c:pt idx="207">
                  <c:v>43457</c:v>
                </c:pt>
                <c:pt idx="208">
                  <c:v>43464</c:v>
                </c:pt>
                <c:pt idx="209">
                  <c:v>43471</c:v>
                </c:pt>
                <c:pt idx="210">
                  <c:v>43478</c:v>
                </c:pt>
                <c:pt idx="211">
                  <c:v>43485</c:v>
                </c:pt>
                <c:pt idx="212">
                  <c:v>43492</c:v>
                </c:pt>
                <c:pt idx="213">
                  <c:v>43499</c:v>
                </c:pt>
                <c:pt idx="214">
                  <c:v>43506</c:v>
                </c:pt>
                <c:pt idx="215">
                  <c:v>43513</c:v>
                </c:pt>
                <c:pt idx="216">
                  <c:v>43520</c:v>
                </c:pt>
                <c:pt idx="217">
                  <c:v>43527</c:v>
                </c:pt>
                <c:pt idx="218">
                  <c:v>43534</c:v>
                </c:pt>
                <c:pt idx="219">
                  <c:v>43541</c:v>
                </c:pt>
                <c:pt idx="220">
                  <c:v>43548</c:v>
                </c:pt>
                <c:pt idx="221">
                  <c:v>43555</c:v>
                </c:pt>
                <c:pt idx="222">
                  <c:v>43562</c:v>
                </c:pt>
                <c:pt idx="223">
                  <c:v>43569</c:v>
                </c:pt>
                <c:pt idx="224">
                  <c:v>43576</c:v>
                </c:pt>
                <c:pt idx="225">
                  <c:v>43583</c:v>
                </c:pt>
                <c:pt idx="226">
                  <c:v>43590</c:v>
                </c:pt>
                <c:pt idx="227">
                  <c:v>43597</c:v>
                </c:pt>
                <c:pt idx="228">
                  <c:v>43604</c:v>
                </c:pt>
                <c:pt idx="229">
                  <c:v>43611</c:v>
                </c:pt>
                <c:pt idx="230">
                  <c:v>43618</c:v>
                </c:pt>
                <c:pt idx="231">
                  <c:v>43625</c:v>
                </c:pt>
                <c:pt idx="232">
                  <c:v>43632</c:v>
                </c:pt>
                <c:pt idx="233">
                  <c:v>43639</c:v>
                </c:pt>
                <c:pt idx="234">
                  <c:v>43646</c:v>
                </c:pt>
                <c:pt idx="235">
                  <c:v>43653</c:v>
                </c:pt>
                <c:pt idx="236">
                  <c:v>43660</c:v>
                </c:pt>
                <c:pt idx="237">
                  <c:v>43667</c:v>
                </c:pt>
                <c:pt idx="238">
                  <c:v>43674</c:v>
                </c:pt>
                <c:pt idx="239">
                  <c:v>43681</c:v>
                </c:pt>
                <c:pt idx="240">
                  <c:v>43688</c:v>
                </c:pt>
                <c:pt idx="241">
                  <c:v>43695</c:v>
                </c:pt>
                <c:pt idx="242">
                  <c:v>43702</c:v>
                </c:pt>
                <c:pt idx="243">
                  <c:v>43709</c:v>
                </c:pt>
                <c:pt idx="244">
                  <c:v>43716</c:v>
                </c:pt>
                <c:pt idx="245">
                  <c:v>43723</c:v>
                </c:pt>
                <c:pt idx="246">
                  <c:v>43730</c:v>
                </c:pt>
                <c:pt idx="247">
                  <c:v>43737</c:v>
                </c:pt>
                <c:pt idx="248">
                  <c:v>43744</c:v>
                </c:pt>
                <c:pt idx="249">
                  <c:v>43751</c:v>
                </c:pt>
                <c:pt idx="250">
                  <c:v>43758</c:v>
                </c:pt>
                <c:pt idx="251">
                  <c:v>43765</c:v>
                </c:pt>
                <c:pt idx="252">
                  <c:v>43772</c:v>
                </c:pt>
                <c:pt idx="253">
                  <c:v>43779</c:v>
                </c:pt>
                <c:pt idx="254">
                  <c:v>43786</c:v>
                </c:pt>
                <c:pt idx="255">
                  <c:v>43793</c:v>
                </c:pt>
                <c:pt idx="256">
                  <c:v>43800</c:v>
                </c:pt>
                <c:pt idx="257">
                  <c:v>43807</c:v>
                </c:pt>
                <c:pt idx="258">
                  <c:v>43814</c:v>
                </c:pt>
                <c:pt idx="259">
                  <c:v>43821</c:v>
                </c:pt>
                <c:pt idx="260">
                  <c:v>43828</c:v>
                </c:pt>
                <c:pt idx="261">
                  <c:v>43835</c:v>
                </c:pt>
                <c:pt idx="262">
                  <c:v>43842</c:v>
                </c:pt>
                <c:pt idx="263">
                  <c:v>43849</c:v>
                </c:pt>
                <c:pt idx="264">
                  <c:v>43856</c:v>
                </c:pt>
                <c:pt idx="265">
                  <c:v>43863</c:v>
                </c:pt>
                <c:pt idx="266">
                  <c:v>43870</c:v>
                </c:pt>
                <c:pt idx="267">
                  <c:v>43877</c:v>
                </c:pt>
                <c:pt idx="268">
                  <c:v>43884</c:v>
                </c:pt>
                <c:pt idx="269">
                  <c:v>43891</c:v>
                </c:pt>
                <c:pt idx="270">
                  <c:v>43898</c:v>
                </c:pt>
                <c:pt idx="271">
                  <c:v>43905</c:v>
                </c:pt>
                <c:pt idx="272">
                  <c:v>43912</c:v>
                </c:pt>
                <c:pt idx="273">
                  <c:v>43919</c:v>
                </c:pt>
              </c:numCache>
            </c:numRef>
          </c:cat>
          <c:val>
            <c:numRef>
              <c:f>'Listed&amp;Price'!$C$19:$C$292</c:f>
              <c:numCache>
                <c:formatCode>General</c:formatCode>
                <c:ptCount val="274"/>
                <c:pt idx="0">
                  <c:v>100</c:v>
                </c:pt>
                <c:pt idx="1">
                  <c:v>101.16</c:v>
                </c:pt>
                <c:pt idx="2">
                  <c:v>100.86</c:v>
                </c:pt>
                <c:pt idx="3">
                  <c:v>100.78</c:v>
                </c:pt>
                <c:pt idx="4">
                  <c:v>100.99</c:v>
                </c:pt>
                <c:pt idx="5">
                  <c:v>101.02</c:v>
                </c:pt>
                <c:pt idx="6">
                  <c:v>101.17</c:v>
                </c:pt>
                <c:pt idx="7">
                  <c:v>101.87</c:v>
                </c:pt>
                <c:pt idx="8">
                  <c:v>100.63</c:v>
                </c:pt>
                <c:pt idx="9">
                  <c:v>100.82</c:v>
                </c:pt>
                <c:pt idx="10">
                  <c:v>101.18</c:v>
                </c:pt>
                <c:pt idx="11">
                  <c:v>102.11</c:v>
                </c:pt>
                <c:pt idx="12">
                  <c:v>102.16</c:v>
                </c:pt>
                <c:pt idx="13">
                  <c:v>102.42</c:v>
                </c:pt>
                <c:pt idx="14">
                  <c:v>103.43</c:v>
                </c:pt>
                <c:pt idx="15">
                  <c:v>105.08</c:v>
                </c:pt>
                <c:pt idx="16">
                  <c:v>103.53</c:v>
                </c:pt>
                <c:pt idx="17">
                  <c:v>105.62</c:v>
                </c:pt>
                <c:pt idx="18">
                  <c:v>103.82</c:v>
                </c:pt>
                <c:pt idx="19">
                  <c:v>103.66</c:v>
                </c:pt>
                <c:pt idx="20">
                  <c:v>103.5</c:v>
                </c:pt>
                <c:pt idx="21">
                  <c:v>103.5</c:v>
                </c:pt>
                <c:pt idx="22">
                  <c:v>105.48</c:v>
                </c:pt>
                <c:pt idx="23">
                  <c:v>104.38</c:v>
                </c:pt>
                <c:pt idx="24">
                  <c:v>104.03</c:v>
                </c:pt>
                <c:pt idx="25">
                  <c:v>104.26</c:v>
                </c:pt>
                <c:pt idx="26">
                  <c:v>105.95</c:v>
                </c:pt>
                <c:pt idx="27">
                  <c:v>105.95</c:v>
                </c:pt>
                <c:pt idx="28">
                  <c:v>105.74</c:v>
                </c:pt>
                <c:pt idx="29">
                  <c:v>105.74</c:v>
                </c:pt>
                <c:pt idx="30">
                  <c:v>108.13</c:v>
                </c:pt>
                <c:pt idx="31">
                  <c:v>107.87</c:v>
                </c:pt>
                <c:pt idx="32">
                  <c:v>107.17</c:v>
                </c:pt>
                <c:pt idx="33">
                  <c:v>107.27</c:v>
                </c:pt>
                <c:pt idx="34">
                  <c:v>108.44</c:v>
                </c:pt>
                <c:pt idx="35">
                  <c:v>108.16</c:v>
                </c:pt>
                <c:pt idx="36">
                  <c:v>107.82</c:v>
                </c:pt>
                <c:pt idx="37">
                  <c:v>108.78</c:v>
                </c:pt>
                <c:pt idx="38">
                  <c:v>108.55</c:v>
                </c:pt>
                <c:pt idx="39">
                  <c:v>107.88</c:v>
                </c:pt>
                <c:pt idx="40">
                  <c:v>109.02</c:v>
                </c:pt>
                <c:pt idx="41">
                  <c:v>108.74</c:v>
                </c:pt>
                <c:pt idx="42">
                  <c:v>108.82</c:v>
                </c:pt>
                <c:pt idx="43">
                  <c:v>108.15</c:v>
                </c:pt>
                <c:pt idx="44">
                  <c:v>109.22</c:v>
                </c:pt>
                <c:pt idx="45">
                  <c:v>109.05</c:v>
                </c:pt>
                <c:pt idx="46">
                  <c:v>108.52</c:v>
                </c:pt>
                <c:pt idx="47">
                  <c:v>109.56</c:v>
                </c:pt>
                <c:pt idx="48">
                  <c:v>110.34</c:v>
                </c:pt>
                <c:pt idx="49">
                  <c:v>110.41</c:v>
                </c:pt>
                <c:pt idx="50">
                  <c:v>110.58</c:v>
                </c:pt>
                <c:pt idx="51">
                  <c:v>110.69</c:v>
                </c:pt>
                <c:pt idx="52">
                  <c:v>110.42</c:v>
                </c:pt>
                <c:pt idx="53">
                  <c:v>110.73</c:v>
                </c:pt>
                <c:pt idx="54">
                  <c:v>111.35</c:v>
                </c:pt>
                <c:pt idx="55">
                  <c:v>111.78</c:v>
                </c:pt>
                <c:pt idx="56">
                  <c:v>111.32</c:v>
                </c:pt>
                <c:pt idx="57">
                  <c:v>112.08</c:v>
                </c:pt>
                <c:pt idx="58">
                  <c:v>111.88</c:v>
                </c:pt>
                <c:pt idx="59">
                  <c:v>111.95</c:v>
                </c:pt>
                <c:pt idx="60">
                  <c:v>112.48</c:v>
                </c:pt>
                <c:pt idx="61">
                  <c:v>114.36</c:v>
                </c:pt>
                <c:pt idx="62">
                  <c:v>116</c:v>
                </c:pt>
                <c:pt idx="63">
                  <c:v>114.98</c:v>
                </c:pt>
                <c:pt idx="64">
                  <c:v>116</c:v>
                </c:pt>
                <c:pt idx="65">
                  <c:v>116.93</c:v>
                </c:pt>
                <c:pt idx="66">
                  <c:v>117.01</c:v>
                </c:pt>
                <c:pt idx="67">
                  <c:v>117.57</c:v>
                </c:pt>
                <c:pt idx="68">
                  <c:v>117.27</c:v>
                </c:pt>
                <c:pt idx="69">
                  <c:v>117.95</c:v>
                </c:pt>
                <c:pt idx="70">
                  <c:v>118.39</c:v>
                </c:pt>
                <c:pt idx="71">
                  <c:v>119</c:v>
                </c:pt>
                <c:pt idx="72">
                  <c:v>118.52</c:v>
                </c:pt>
                <c:pt idx="73">
                  <c:v>119.95</c:v>
                </c:pt>
                <c:pt idx="74">
                  <c:v>121.67</c:v>
                </c:pt>
                <c:pt idx="75">
                  <c:v>121.98</c:v>
                </c:pt>
                <c:pt idx="76">
                  <c:v>122.22</c:v>
                </c:pt>
                <c:pt idx="77">
                  <c:v>122.58</c:v>
                </c:pt>
                <c:pt idx="78">
                  <c:v>122.39</c:v>
                </c:pt>
                <c:pt idx="79">
                  <c:v>122.14</c:v>
                </c:pt>
                <c:pt idx="80">
                  <c:v>122.35</c:v>
                </c:pt>
                <c:pt idx="81">
                  <c:v>122.83</c:v>
                </c:pt>
                <c:pt idx="82">
                  <c:v>122.35</c:v>
                </c:pt>
                <c:pt idx="83">
                  <c:v>123.01</c:v>
                </c:pt>
                <c:pt idx="84">
                  <c:v>123.25</c:v>
                </c:pt>
                <c:pt idx="85">
                  <c:v>123.32</c:v>
                </c:pt>
                <c:pt idx="86">
                  <c:v>124.06</c:v>
                </c:pt>
                <c:pt idx="87">
                  <c:v>125.4</c:v>
                </c:pt>
                <c:pt idx="88">
                  <c:v>125.24</c:v>
                </c:pt>
                <c:pt idx="89">
                  <c:v>126.85</c:v>
                </c:pt>
                <c:pt idx="90">
                  <c:v>127.36</c:v>
                </c:pt>
                <c:pt idx="91">
                  <c:v>129.01</c:v>
                </c:pt>
                <c:pt idx="92">
                  <c:v>129.63999999999999</c:v>
                </c:pt>
                <c:pt idx="93">
                  <c:v>129.74</c:v>
                </c:pt>
                <c:pt idx="94">
                  <c:v>131.30000000000001</c:v>
                </c:pt>
                <c:pt idx="95">
                  <c:v>131.91999999999999</c:v>
                </c:pt>
                <c:pt idx="96">
                  <c:v>133.33000000000001</c:v>
                </c:pt>
                <c:pt idx="97">
                  <c:v>133.54</c:v>
                </c:pt>
                <c:pt idx="98">
                  <c:v>133.87</c:v>
                </c:pt>
                <c:pt idx="99">
                  <c:v>133.84</c:v>
                </c:pt>
                <c:pt idx="100">
                  <c:v>134.86000000000001</c:v>
                </c:pt>
                <c:pt idx="101">
                  <c:v>135</c:v>
                </c:pt>
                <c:pt idx="102">
                  <c:v>135.11000000000001</c:v>
                </c:pt>
                <c:pt idx="103">
                  <c:v>136.04</c:v>
                </c:pt>
                <c:pt idx="104">
                  <c:v>137.03</c:v>
                </c:pt>
                <c:pt idx="105">
                  <c:v>137.35</c:v>
                </c:pt>
                <c:pt idx="106">
                  <c:v>137.24</c:v>
                </c:pt>
                <c:pt idx="107">
                  <c:v>136.33000000000001</c:v>
                </c:pt>
                <c:pt idx="108">
                  <c:v>135.9</c:v>
                </c:pt>
                <c:pt idx="109">
                  <c:v>137.96</c:v>
                </c:pt>
                <c:pt idx="110">
                  <c:v>138.75</c:v>
                </c:pt>
                <c:pt idx="111">
                  <c:v>140.87</c:v>
                </c:pt>
                <c:pt idx="112">
                  <c:v>141.51</c:v>
                </c:pt>
                <c:pt idx="113">
                  <c:v>143.16</c:v>
                </c:pt>
                <c:pt idx="114">
                  <c:v>143.88999999999999</c:v>
                </c:pt>
                <c:pt idx="115">
                  <c:v>144.28</c:v>
                </c:pt>
                <c:pt idx="116">
                  <c:v>144.78</c:v>
                </c:pt>
                <c:pt idx="117">
                  <c:v>145.6</c:v>
                </c:pt>
                <c:pt idx="118">
                  <c:v>146.38999999999999</c:v>
                </c:pt>
                <c:pt idx="119">
                  <c:v>147.78</c:v>
                </c:pt>
                <c:pt idx="120">
                  <c:v>151.49</c:v>
                </c:pt>
                <c:pt idx="121">
                  <c:v>149.72999999999999</c:v>
                </c:pt>
                <c:pt idx="122">
                  <c:v>151.97999999999999</c:v>
                </c:pt>
                <c:pt idx="123">
                  <c:v>152.71</c:v>
                </c:pt>
                <c:pt idx="124">
                  <c:v>153.27000000000001</c:v>
                </c:pt>
                <c:pt idx="125">
                  <c:v>155.12</c:v>
                </c:pt>
                <c:pt idx="126">
                  <c:v>156.08000000000001</c:v>
                </c:pt>
                <c:pt idx="127">
                  <c:v>157.05000000000001</c:v>
                </c:pt>
                <c:pt idx="128">
                  <c:v>156.38</c:v>
                </c:pt>
                <c:pt idx="129">
                  <c:v>158.29</c:v>
                </c:pt>
                <c:pt idx="130">
                  <c:v>158.1</c:v>
                </c:pt>
                <c:pt idx="131">
                  <c:v>159.16</c:v>
                </c:pt>
                <c:pt idx="132">
                  <c:v>157.46</c:v>
                </c:pt>
                <c:pt idx="133">
                  <c:v>157.36000000000001</c:v>
                </c:pt>
                <c:pt idx="134">
                  <c:v>158.72</c:v>
                </c:pt>
                <c:pt idx="135">
                  <c:v>159.83000000000001</c:v>
                </c:pt>
                <c:pt idx="136">
                  <c:v>160.21</c:v>
                </c:pt>
                <c:pt idx="137">
                  <c:v>158.41</c:v>
                </c:pt>
                <c:pt idx="138">
                  <c:v>158.74</c:v>
                </c:pt>
                <c:pt idx="139">
                  <c:v>158.82</c:v>
                </c:pt>
                <c:pt idx="140">
                  <c:v>159.97999999999999</c:v>
                </c:pt>
                <c:pt idx="141">
                  <c:v>160.54</c:v>
                </c:pt>
                <c:pt idx="142">
                  <c:v>159.66</c:v>
                </c:pt>
                <c:pt idx="143">
                  <c:v>161.03</c:v>
                </c:pt>
                <c:pt idx="144">
                  <c:v>162.44999999999999</c:v>
                </c:pt>
                <c:pt idx="145">
                  <c:v>161.37</c:v>
                </c:pt>
                <c:pt idx="146">
                  <c:v>161.12</c:v>
                </c:pt>
                <c:pt idx="147">
                  <c:v>161.76</c:v>
                </c:pt>
                <c:pt idx="148">
                  <c:v>163.06</c:v>
                </c:pt>
                <c:pt idx="149">
                  <c:v>163.32</c:v>
                </c:pt>
                <c:pt idx="150">
                  <c:v>163.63999999999999</c:v>
                </c:pt>
                <c:pt idx="151">
                  <c:v>162.80000000000001</c:v>
                </c:pt>
                <c:pt idx="152">
                  <c:v>164.23</c:v>
                </c:pt>
                <c:pt idx="153">
                  <c:v>164.42</c:v>
                </c:pt>
                <c:pt idx="154">
                  <c:v>164.43</c:v>
                </c:pt>
                <c:pt idx="155">
                  <c:v>165.11</c:v>
                </c:pt>
                <c:pt idx="156">
                  <c:v>165.83</c:v>
                </c:pt>
                <c:pt idx="157">
                  <c:v>165.86</c:v>
                </c:pt>
                <c:pt idx="158">
                  <c:v>165.5</c:v>
                </c:pt>
                <c:pt idx="159">
                  <c:v>165.32</c:v>
                </c:pt>
                <c:pt idx="160">
                  <c:v>166.34</c:v>
                </c:pt>
                <c:pt idx="161">
                  <c:v>166.3</c:v>
                </c:pt>
                <c:pt idx="162">
                  <c:v>165.87</c:v>
                </c:pt>
                <c:pt idx="163">
                  <c:v>165.55</c:v>
                </c:pt>
                <c:pt idx="164">
                  <c:v>166.09</c:v>
                </c:pt>
                <c:pt idx="165">
                  <c:v>168.17</c:v>
                </c:pt>
                <c:pt idx="166">
                  <c:v>168.85</c:v>
                </c:pt>
                <c:pt idx="167">
                  <c:v>169</c:v>
                </c:pt>
                <c:pt idx="168">
                  <c:v>170.27</c:v>
                </c:pt>
                <c:pt idx="169">
                  <c:v>172.27</c:v>
                </c:pt>
                <c:pt idx="170">
                  <c:v>172.03</c:v>
                </c:pt>
                <c:pt idx="171">
                  <c:v>171.82</c:v>
                </c:pt>
                <c:pt idx="172">
                  <c:v>173</c:v>
                </c:pt>
                <c:pt idx="173">
                  <c:v>175.03</c:v>
                </c:pt>
                <c:pt idx="174">
                  <c:v>175.35</c:v>
                </c:pt>
                <c:pt idx="175">
                  <c:v>175.89</c:v>
                </c:pt>
                <c:pt idx="176">
                  <c:v>177.45</c:v>
                </c:pt>
                <c:pt idx="177">
                  <c:v>177.07</c:v>
                </c:pt>
                <c:pt idx="178">
                  <c:v>177.87</c:v>
                </c:pt>
                <c:pt idx="179">
                  <c:v>178.17</c:v>
                </c:pt>
                <c:pt idx="180">
                  <c:v>180.05</c:v>
                </c:pt>
                <c:pt idx="181">
                  <c:v>179.67</c:v>
                </c:pt>
                <c:pt idx="182">
                  <c:v>181.97</c:v>
                </c:pt>
                <c:pt idx="183">
                  <c:v>182.37</c:v>
                </c:pt>
                <c:pt idx="184">
                  <c:v>182.78</c:v>
                </c:pt>
                <c:pt idx="185">
                  <c:v>183.42</c:v>
                </c:pt>
                <c:pt idx="186">
                  <c:v>182.68</c:v>
                </c:pt>
                <c:pt idx="187">
                  <c:v>183.81</c:v>
                </c:pt>
                <c:pt idx="188">
                  <c:v>184.42</c:v>
                </c:pt>
                <c:pt idx="189">
                  <c:v>184.53</c:v>
                </c:pt>
                <c:pt idx="190">
                  <c:v>184.54</c:v>
                </c:pt>
                <c:pt idx="191">
                  <c:v>185.15</c:v>
                </c:pt>
                <c:pt idx="192">
                  <c:v>185.18</c:v>
                </c:pt>
                <c:pt idx="193">
                  <c:v>185.08</c:v>
                </c:pt>
                <c:pt idx="194">
                  <c:v>184.67</c:v>
                </c:pt>
                <c:pt idx="195">
                  <c:v>185.43</c:v>
                </c:pt>
                <c:pt idx="196">
                  <c:v>185.79</c:v>
                </c:pt>
                <c:pt idx="197">
                  <c:v>185.09</c:v>
                </c:pt>
                <c:pt idx="198">
                  <c:v>185.36</c:v>
                </c:pt>
                <c:pt idx="199">
                  <c:v>185.39</c:v>
                </c:pt>
                <c:pt idx="200">
                  <c:v>185.17</c:v>
                </c:pt>
                <c:pt idx="201">
                  <c:v>184.44</c:v>
                </c:pt>
                <c:pt idx="202">
                  <c:v>184.1</c:v>
                </c:pt>
                <c:pt idx="203">
                  <c:v>183.93</c:v>
                </c:pt>
                <c:pt idx="204">
                  <c:v>184.26</c:v>
                </c:pt>
                <c:pt idx="205">
                  <c:v>184.17</c:v>
                </c:pt>
                <c:pt idx="206">
                  <c:v>183.29</c:v>
                </c:pt>
                <c:pt idx="207">
                  <c:v>182.91</c:v>
                </c:pt>
                <c:pt idx="208">
                  <c:v>182.63</c:v>
                </c:pt>
                <c:pt idx="209">
                  <c:v>181.75</c:v>
                </c:pt>
                <c:pt idx="210">
                  <c:v>181.23</c:v>
                </c:pt>
                <c:pt idx="211">
                  <c:v>181.29</c:v>
                </c:pt>
                <c:pt idx="212">
                  <c:v>181.5</c:v>
                </c:pt>
                <c:pt idx="213">
                  <c:v>182.15</c:v>
                </c:pt>
                <c:pt idx="214">
                  <c:v>181.87</c:v>
                </c:pt>
                <c:pt idx="215">
                  <c:v>182.59</c:v>
                </c:pt>
                <c:pt idx="216">
                  <c:v>182.99</c:v>
                </c:pt>
                <c:pt idx="217">
                  <c:v>183.01</c:v>
                </c:pt>
                <c:pt idx="218">
                  <c:v>183.3</c:v>
                </c:pt>
                <c:pt idx="219">
                  <c:v>183.72</c:v>
                </c:pt>
                <c:pt idx="220">
                  <c:v>183.79</c:v>
                </c:pt>
                <c:pt idx="221">
                  <c:v>183.98</c:v>
                </c:pt>
                <c:pt idx="222">
                  <c:v>184.23</c:v>
                </c:pt>
                <c:pt idx="223">
                  <c:v>184.61</c:v>
                </c:pt>
                <c:pt idx="224">
                  <c:v>184.36</c:v>
                </c:pt>
                <c:pt idx="225">
                  <c:v>184.65</c:v>
                </c:pt>
                <c:pt idx="226">
                  <c:v>184.78</c:v>
                </c:pt>
                <c:pt idx="227">
                  <c:v>184.7</c:v>
                </c:pt>
                <c:pt idx="228">
                  <c:v>183.69</c:v>
                </c:pt>
                <c:pt idx="229">
                  <c:v>183.7</c:v>
                </c:pt>
                <c:pt idx="230">
                  <c:v>184.31</c:v>
                </c:pt>
                <c:pt idx="231">
                  <c:v>184.28</c:v>
                </c:pt>
                <c:pt idx="232">
                  <c:v>184.38</c:v>
                </c:pt>
                <c:pt idx="233">
                  <c:v>184.36</c:v>
                </c:pt>
                <c:pt idx="234">
                  <c:v>184.43</c:v>
                </c:pt>
                <c:pt idx="235">
                  <c:v>184.6</c:v>
                </c:pt>
                <c:pt idx="236">
                  <c:v>184.81</c:v>
                </c:pt>
                <c:pt idx="237">
                  <c:v>185.21</c:v>
                </c:pt>
                <c:pt idx="238">
                  <c:v>185.07</c:v>
                </c:pt>
                <c:pt idx="239">
                  <c:v>185.12</c:v>
                </c:pt>
                <c:pt idx="240">
                  <c:v>184.73</c:v>
                </c:pt>
                <c:pt idx="241">
                  <c:v>185.02</c:v>
                </c:pt>
                <c:pt idx="242">
                  <c:v>185.16</c:v>
                </c:pt>
                <c:pt idx="243">
                  <c:v>185.8</c:v>
                </c:pt>
                <c:pt idx="244">
                  <c:v>186.35</c:v>
                </c:pt>
                <c:pt idx="245">
                  <c:v>185.67</c:v>
                </c:pt>
                <c:pt idx="246">
                  <c:v>185.7</c:v>
                </c:pt>
                <c:pt idx="247">
                  <c:v>185.58</c:v>
                </c:pt>
                <c:pt idx="248">
                  <c:v>185.36</c:v>
                </c:pt>
                <c:pt idx="249">
                  <c:v>185.4</c:v>
                </c:pt>
                <c:pt idx="250">
                  <c:v>185.24</c:v>
                </c:pt>
                <c:pt idx="251">
                  <c:v>185.16</c:v>
                </c:pt>
                <c:pt idx="252">
                  <c:v>185.16</c:v>
                </c:pt>
                <c:pt idx="253">
                  <c:v>185.18</c:v>
                </c:pt>
                <c:pt idx="254">
                  <c:v>185.08</c:v>
                </c:pt>
                <c:pt idx="255">
                  <c:v>184.89</c:v>
                </c:pt>
                <c:pt idx="256">
                  <c:v>184.89</c:v>
                </c:pt>
                <c:pt idx="257">
                  <c:v>185.72</c:v>
                </c:pt>
                <c:pt idx="258">
                  <c:v>185.69</c:v>
                </c:pt>
                <c:pt idx="259">
                  <c:v>185.64</c:v>
                </c:pt>
                <c:pt idx="260">
                  <c:v>185.64</c:v>
                </c:pt>
                <c:pt idx="261">
                  <c:v>185.79</c:v>
                </c:pt>
                <c:pt idx="262">
                  <c:v>185.87</c:v>
                </c:pt>
                <c:pt idx="263">
                  <c:v>185.97</c:v>
                </c:pt>
                <c:pt idx="264">
                  <c:v>185.88</c:v>
                </c:pt>
                <c:pt idx="265">
                  <c:v>185.76</c:v>
                </c:pt>
                <c:pt idx="266">
                  <c:v>185.83</c:v>
                </c:pt>
                <c:pt idx="267">
                  <c:v>185.98</c:v>
                </c:pt>
                <c:pt idx="268">
                  <c:v>186.17</c:v>
                </c:pt>
                <c:pt idx="269">
                  <c:v>186.16</c:v>
                </c:pt>
                <c:pt idx="270">
                  <c:v>186.38</c:v>
                </c:pt>
                <c:pt idx="271">
                  <c:v>186.45</c:v>
                </c:pt>
                <c:pt idx="272">
                  <c:v>186.48</c:v>
                </c:pt>
                <c:pt idx="273">
                  <c:v>186.55</c:v>
                </c:pt>
              </c:numCache>
            </c:numRef>
          </c:val>
          <c:smooth val="1"/>
          <c:extLst>
            <c:ext xmlns:c16="http://schemas.microsoft.com/office/drawing/2014/chart" uri="{C3380CC4-5D6E-409C-BE32-E72D297353CC}">
              <c16:uniqueId val="{00000001-536F-43A3-99AA-9311A91EAF63}"/>
            </c:ext>
          </c:extLst>
        </c:ser>
        <c:dLbls>
          <c:showLegendKey val="0"/>
          <c:showVal val="0"/>
          <c:showCatName val="0"/>
          <c:showSerName val="0"/>
          <c:showPercent val="0"/>
          <c:showBubbleSize val="0"/>
        </c:dLbls>
        <c:marker val="1"/>
        <c:smooth val="0"/>
        <c:axId val="-2022689120"/>
        <c:axId val="-726935248"/>
      </c:lineChart>
      <c:dateAx>
        <c:axId val="-726885392"/>
        <c:scaling>
          <c:orientation val="minMax"/>
        </c:scaling>
        <c:delete val="0"/>
        <c:axPos val="b"/>
        <c:numFmt formatCode="yyyy/mm"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726810864"/>
        <c:crosses val="autoZero"/>
        <c:auto val="1"/>
        <c:lblOffset val="100"/>
        <c:baseTimeUnit val="days"/>
      </c:dateAx>
      <c:valAx>
        <c:axId val="-726810864"/>
        <c:scaling>
          <c:orientation val="minMax"/>
        </c:scaling>
        <c:delete val="0"/>
        <c:axPos val="l"/>
        <c:numFmt formatCode="General" sourceLinked="1"/>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726885392"/>
        <c:crosses val="autoZero"/>
        <c:crossBetween val="between"/>
      </c:valAx>
      <c:valAx>
        <c:axId val="-726935248"/>
        <c:scaling>
          <c:orientation val="minMax"/>
        </c:scaling>
        <c:delete val="0"/>
        <c:axPos val="r"/>
        <c:numFmt formatCode="General" sourceLinked="1"/>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89120"/>
        <c:crosses val="max"/>
        <c:crossBetween val="between"/>
      </c:valAx>
      <c:dateAx>
        <c:axId val="-2022689120"/>
        <c:scaling>
          <c:orientation val="minMax"/>
        </c:scaling>
        <c:delete val="1"/>
        <c:axPos val="b"/>
        <c:numFmt formatCode="m/d/yyyy" sourceLinked="1"/>
        <c:majorTickMark val="out"/>
        <c:minorTickMark val="none"/>
        <c:tickLblPos val="nextTo"/>
        <c:crossAx val="-726935248"/>
        <c:crosses val="autoZero"/>
        <c:auto val="1"/>
        <c:lblOffset val="100"/>
        <c:baseTimeUnit val="days"/>
      </c:dateAx>
      <c:spPr>
        <a:noFill/>
        <a:ln w="25400">
          <a:noFill/>
        </a:ln>
        <a:effectLst/>
      </c:spPr>
    </c:plotArea>
    <c:legend>
      <c:legendPos val="b"/>
      <c:layout>
        <c:manualLayout>
          <c:xMode val="edge"/>
          <c:yMode val="edge"/>
          <c:x val="1.1668805716465891E-3"/>
          <c:y val="0.90466544104894375"/>
          <c:w val="0.9988331194283534"/>
          <c:h val="9.5334558951056247E-2"/>
        </c:manualLayout>
      </c:layout>
      <c:overlay val="0"/>
      <c:spPr>
        <a:noFill/>
        <a:ln w="25400">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legend>
    <c:plotVisOnly val="1"/>
    <c:dispBlanksAs val="gap"/>
    <c:showDLblsOverMax val="0"/>
  </c:chart>
  <c:spPr>
    <a:solidFill>
      <a:srgbClr val="FFFFFF"/>
    </a:solidFill>
    <a:ln w="25400" cap="flat" cmpd="sng" algn="ctr">
      <a:noFill/>
      <a:round/>
    </a:ln>
    <a:effectLst/>
  </c:spPr>
  <c:txPr>
    <a:bodyPr/>
    <a:lstStyle/>
    <a:p>
      <a:pPr>
        <a:defRPr sz="900" baseline="0">
          <a:solidFill>
            <a:schemeClr val="tx1"/>
          </a:solidFill>
          <a:latin typeface="Times New Roman" panose="02020603050405020304" pitchFamily="18" charset="0"/>
          <a:ea typeface="楷体" panose="02010609060101010101" pitchFamily="49" charset="-122"/>
          <a:cs typeface="华文细黑"/>
        </a:defRPr>
      </a:pPr>
      <a:endParaRPr lang="zh-C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651635887856362E-2"/>
          <c:y val="6.1865903125745643E-2"/>
          <c:w val="0.8998582834803307"/>
          <c:h val="0.82181088326526031"/>
        </c:manualLayout>
      </c:layout>
      <c:barChart>
        <c:barDir val="col"/>
        <c:grouping val="clustered"/>
        <c:varyColors val="0"/>
        <c:ser>
          <c:idx val="0"/>
          <c:order val="0"/>
          <c:tx>
            <c:strRef>
              <c:f>'Listed&amp;Price'!$D$18</c:f>
              <c:strCache>
                <c:ptCount val="1"/>
                <c:pt idx="0">
                  <c:v>2nd House Listed for-sale Amount Index</c:v>
                </c:pt>
              </c:strCache>
            </c:strRef>
          </c:tx>
          <c:spPr>
            <a:solidFill>
              <a:schemeClr val="bg1">
                <a:lumMod val="85000"/>
              </a:schemeClr>
            </a:solidFill>
            <a:ln>
              <a:solidFill>
                <a:schemeClr val="bg1">
                  <a:lumMod val="85000"/>
                </a:schemeClr>
              </a:solidFill>
            </a:ln>
            <a:effectLst/>
          </c:spPr>
          <c:invertIfNegative val="0"/>
          <c:cat>
            <c:numRef>
              <c:f>'Listed&amp;Price'!$A$19:$A$292</c:f>
              <c:numCache>
                <c:formatCode>m/d/yyyy</c:formatCode>
                <c:ptCount val="274"/>
                <c:pt idx="0">
                  <c:v>42008</c:v>
                </c:pt>
                <c:pt idx="1">
                  <c:v>42015</c:v>
                </c:pt>
                <c:pt idx="2">
                  <c:v>42022</c:v>
                </c:pt>
                <c:pt idx="3">
                  <c:v>42029</c:v>
                </c:pt>
                <c:pt idx="4">
                  <c:v>42036</c:v>
                </c:pt>
                <c:pt idx="5">
                  <c:v>42043</c:v>
                </c:pt>
                <c:pt idx="6">
                  <c:v>42050</c:v>
                </c:pt>
                <c:pt idx="7">
                  <c:v>42057</c:v>
                </c:pt>
                <c:pt idx="8">
                  <c:v>42064</c:v>
                </c:pt>
                <c:pt idx="9">
                  <c:v>42071</c:v>
                </c:pt>
                <c:pt idx="10">
                  <c:v>42078</c:v>
                </c:pt>
                <c:pt idx="11">
                  <c:v>42085</c:v>
                </c:pt>
                <c:pt idx="12">
                  <c:v>42092</c:v>
                </c:pt>
                <c:pt idx="13">
                  <c:v>42099</c:v>
                </c:pt>
                <c:pt idx="14">
                  <c:v>42106</c:v>
                </c:pt>
                <c:pt idx="15">
                  <c:v>42113</c:v>
                </c:pt>
                <c:pt idx="16">
                  <c:v>42120</c:v>
                </c:pt>
                <c:pt idx="17">
                  <c:v>42127</c:v>
                </c:pt>
                <c:pt idx="18">
                  <c:v>42134</c:v>
                </c:pt>
                <c:pt idx="19">
                  <c:v>42141</c:v>
                </c:pt>
                <c:pt idx="20">
                  <c:v>42148</c:v>
                </c:pt>
                <c:pt idx="21">
                  <c:v>42155</c:v>
                </c:pt>
                <c:pt idx="22">
                  <c:v>42162</c:v>
                </c:pt>
                <c:pt idx="23">
                  <c:v>42169</c:v>
                </c:pt>
                <c:pt idx="24">
                  <c:v>42176</c:v>
                </c:pt>
                <c:pt idx="25">
                  <c:v>42183</c:v>
                </c:pt>
                <c:pt idx="26">
                  <c:v>42190</c:v>
                </c:pt>
                <c:pt idx="27">
                  <c:v>42197</c:v>
                </c:pt>
                <c:pt idx="28">
                  <c:v>42204</c:v>
                </c:pt>
                <c:pt idx="29">
                  <c:v>42211</c:v>
                </c:pt>
                <c:pt idx="30">
                  <c:v>42218</c:v>
                </c:pt>
                <c:pt idx="31">
                  <c:v>42225</c:v>
                </c:pt>
                <c:pt idx="32">
                  <c:v>42232</c:v>
                </c:pt>
                <c:pt idx="33">
                  <c:v>42239</c:v>
                </c:pt>
                <c:pt idx="34">
                  <c:v>42246</c:v>
                </c:pt>
                <c:pt idx="35">
                  <c:v>42253</c:v>
                </c:pt>
                <c:pt idx="36">
                  <c:v>42260</c:v>
                </c:pt>
                <c:pt idx="37">
                  <c:v>42267</c:v>
                </c:pt>
                <c:pt idx="38">
                  <c:v>42274</c:v>
                </c:pt>
                <c:pt idx="39">
                  <c:v>42281</c:v>
                </c:pt>
                <c:pt idx="40">
                  <c:v>42288</c:v>
                </c:pt>
                <c:pt idx="41">
                  <c:v>42295</c:v>
                </c:pt>
                <c:pt idx="42">
                  <c:v>42302</c:v>
                </c:pt>
                <c:pt idx="43">
                  <c:v>42309</c:v>
                </c:pt>
                <c:pt idx="44">
                  <c:v>42316</c:v>
                </c:pt>
                <c:pt idx="45">
                  <c:v>42323</c:v>
                </c:pt>
                <c:pt idx="46">
                  <c:v>42330</c:v>
                </c:pt>
                <c:pt idx="47">
                  <c:v>42337</c:v>
                </c:pt>
                <c:pt idx="48">
                  <c:v>42344</c:v>
                </c:pt>
                <c:pt idx="49">
                  <c:v>42351</c:v>
                </c:pt>
                <c:pt idx="50">
                  <c:v>42358</c:v>
                </c:pt>
                <c:pt idx="51">
                  <c:v>42365</c:v>
                </c:pt>
                <c:pt idx="52">
                  <c:v>42372</c:v>
                </c:pt>
                <c:pt idx="53">
                  <c:v>42379</c:v>
                </c:pt>
                <c:pt idx="54">
                  <c:v>42386</c:v>
                </c:pt>
                <c:pt idx="55">
                  <c:v>42393</c:v>
                </c:pt>
                <c:pt idx="56">
                  <c:v>42400</c:v>
                </c:pt>
                <c:pt idx="57">
                  <c:v>42407</c:v>
                </c:pt>
                <c:pt idx="58">
                  <c:v>42414</c:v>
                </c:pt>
                <c:pt idx="59">
                  <c:v>42421</c:v>
                </c:pt>
                <c:pt idx="60">
                  <c:v>42428</c:v>
                </c:pt>
                <c:pt idx="61">
                  <c:v>42435</c:v>
                </c:pt>
                <c:pt idx="62">
                  <c:v>42442</c:v>
                </c:pt>
                <c:pt idx="63">
                  <c:v>42449</c:v>
                </c:pt>
                <c:pt idx="64">
                  <c:v>42456</c:v>
                </c:pt>
                <c:pt idx="65">
                  <c:v>42463</c:v>
                </c:pt>
                <c:pt idx="66">
                  <c:v>42470</c:v>
                </c:pt>
                <c:pt idx="67">
                  <c:v>42477</c:v>
                </c:pt>
                <c:pt idx="68">
                  <c:v>42484</c:v>
                </c:pt>
                <c:pt idx="69">
                  <c:v>42491</c:v>
                </c:pt>
                <c:pt idx="70">
                  <c:v>42498</c:v>
                </c:pt>
                <c:pt idx="71">
                  <c:v>42505</c:v>
                </c:pt>
                <c:pt idx="72">
                  <c:v>42512</c:v>
                </c:pt>
                <c:pt idx="73">
                  <c:v>42519</c:v>
                </c:pt>
                <c:pt idx="74">
                  <c:v>42526</c:v>
                </c:pt>
                <c:pt idx="75">
                  <c:v>42533</c:v>
                </c:pt>
                <c:pt idx="76">
                  <c:v>42540</c:v>
                </c:pt>
                <c:pt idx="77">
                  <c:v>42547</c:v>
                </c:pt>
                <c:pt idx="78">
                  <c:v>42554</c:v>
                </c:pt>
                <c:pt idx="79">
                  <c:v>42561</c:v>
                </c:pt>
                <c:pt idx="80">
                  <c:v>42568</c:v>
                </c:pt>
                <c:pt idx="81">
                  <c:v>42575</c:v>
                </c:pt>
                <c:pt idx="82">
                  <c:v>42582</c:v>
                </c:pt>
                <c:pt idx="83">
                  <c:v>42589</c:v>
                </c:pt>
                <c:pt idx="84">
                  <c:v>42596</c:v>
                </c:pt>
                <c:pt idx="85">
                  <c:v>42603</c:v>
                </c:pt>
                <c:pt idx="86">
                  <c:v>42610</c:v>
                </c:pt>
                <c:pt idx="87">
                  <c:v>42617</c:v>
                </c:pt>
                <c:pt idx="88">
                  <c:v>42624</c:v>
                </c:pt>
                <c:pt idx="89">
                  <c:v>42631</c:v>
                </c:pt>
                <c:pt idx="90">
                  <c:v>42638</c:v>
                </c:pt>
                <c:pt idx="91">
                  <c:v>42645</c:v>
                </c:pt>
                <c:pt idx="92">
                  <c:v>42652</c:v>
                </c:pt>
                <c:pt idx="93">
                  <c:v>42659</c:v>
                </c:pt>
                <c:pt idx="94">
                  <c:v>42666</c:v>
                </c:pt>
                <c:pt idx="95">
                  <c:v>42673</c:v>
                </c:pt>
                <c:pt idx="96">
                  <c:v>42680</c:v>
                </c:pt>
                <c:pt idx="97">
                  <c:v>42687</c:v>
                </c:pt>
                <c:pt idx="98">
                  <c:v>42694</c:v>
                </c:pt>
                <c:pt idx="99">
                  <c:v>42701</c:v>
                </c:pt>
                <c:pt idx="100">
                  <c:v>42708</c:v>
                </c:pt>
                <c:pt idx="101">
                  <c:v>42715</c:v>
                </c:pt>
                <c:pt idx="102">
                  <c:v>42722</c:v>
                </c:pt>
                <c:pt idx="103">
                  <c:v>42729</c:v>
                </c:pt>
                <c:pt idx="104">
                  <c:v>42736</c:v>
                </c:pt>
                <c:pt idx="105">
                  <c:v>42743</c:v>
                </c:pt>
                <c:pt idx="106">
                  <c:v>42750</c:v>
                </c:pt>
                <c:pt idx="107">
                  <c:v>42757</c:v>
                </c:pt>
                <c:pt idx="108">
                  <c:v>42764</c:v>
                </c:pt>
                <c:pt idx="109">
                  <c:v>42771</c:v>
                </c:pt>
                <c:pt idx="110">
                  <c:v>42778</c:v>
                </c:pt>
                <c:pt idx="111">
                  <c:v>42785</c:v>
                </c:pt>
                <c:pt idx="112">
                  <c:v>42792</c:v>
                </c:pt>
                <c:pt idx="113">
                  <c:v>42799</c:v>
                </c:pt>
                <c:pt idx="114">
                  <c:v>42806</c:v>
                </c:pt>
                <c:pt idx="115">
                  <c:v>42813</c:v>
                </c:pt>
                <c:pt idx="116">
                  <c:v>42820</c:v>
                </c:pt>
                <c:pt idx="117">
                  <c:v>42827</c:v>
                </c:pt>
                <c:pt idx="118">
                  <c:v>42834</c:v>
                </c:pt>
                <c:pt idx="119">
                  <c:v>42841</c:v>
                </c:pt>
                <c:pt idx="120">
                  <c:v>42848</c:v>
                </c:pt>
                <c:pt idx="121">
                  <c:v>42855</c:v>
                </c:pt>
                <c:pt idx="122">
                  <c:v>42862</c:v>
                </c:pt>
                <c:pt idx="123">
                  <c:v>42869</c:v>
                </c:pt>
                <c:pt idx="124">
                  <c:v>42876</c:v>
                </c:pt>
                <c:pt idx="125">
                  <c:v>42883</c:v>
                </c:pt>
                <c:pt idx="126">
                  <c:v>42890</c:v>
                </c:pt>
                <c:pt idx="127">
                  <c:v>42897</c:v>
                </c:pt>
                <c:pt idx="128">
                  <c:v>42904</c:v>
                </c:pt>
                <c:pt idx="129">
                  <c:v>42911</c:v>
                </c:pt>
                <c:pt idx="130">
                  <c:v>42918</c:v>
                </c:pt>
                <c:pt idx="131">
                  <c:v>42925</c:v>
                </c:pt>
                <c:pt idx="132">
                  <c:v>42932</c:v>
                </c:pt>
                <c:pt idx="133">
                  <c:v>42939</c:v>
                </c:pt>
                <c:pt idx="134">
                  <c:v>42946</c:v>
                </c:pt>
                <c:pt idx="135">
                  <c:v>42953</c:v>
                </c:pt>
                <c:pt idx="136">
                  <c:v>42960</c:v>
                </c:pt>
                <c:pt idx="137">
                  <c:v>42967</c:v>
                </c:pt>
                <c:pt idx="138">
                  <c:v>42974</c:v>
                </c:pt>
                <c:pt idx="139">
                  <c:v>42981</c:v>
                </c:pt>
                <c:pt idx="140">
                  <c:v>42988</c:v>
                </c:pt>
                <c:pt idx="141">
                  <c:v>42995</c:v>
                </c:pt>
                <c:pt idx="142">
                  <c:v>43002</c:v>
                </c:pt>
                <c:pt idx="143">
                  <c:v>43009</c:v>
                </c:pt>
                <c:pt idx="144">
                  <c:v>43016</c:v>
                </c:pt>
                <c:pt idx="145">
                  <c:v>43023</c:v>
                </c:pt>
                <c:pt idx="146">
                  <c:v>43030</c:v>
                </c:pt>
                <c:pt idx="147">
                  <c:v>43037</c:v>
                </c:pt>
                <c:pt idx="148">
                  <c:v>43044</c:v>
                </c:pt>
                <c:pt idx="149">
                  <c:v>43051</c:v>
                </c:pt>
                <c:pt idx="150">
                  <c:v>43058</c:v>
                </c:pt>
                <c:pt idx="151">
                  <c:v>43065</c:v>
                </c:pt>
                <c:pt idx="152">
                  <c:v>43072</c:v>
                </c:pt>
                <c:pt idx="153">
                  <c:v>43079</c:v>
                </c:pt>
                <c:pt idx="154">
                  <c:v>43086</c:v>
                </c:pt>
                <c:pt idx="155">
                  <c:v>43093</c:v>
                </c:pt>
                <c:pt idx="156">
                  <c:v>43100</c:v>
                </c:pt>
                <c:pt idx="157">
                  <c:v>43107</c:v>
                </c:pt>
                <c:pt idx="158">
                  <c:v>43114</c:v>
                </c:pt>
                <c:pt idx="159">
                  <c:v>43121</c:v>
                </c:pt>
                <c:pt idx="160">
                  <c:v>43128</c:v>
                </c:pt>
                <c:pt idx="161">
                  <c:v>43135</c:v>
                </c:pt>
                <c:pt idx="162">
                  <c:v>43142</c:v>
                </c:pt>
                <c:pt idx="163">
                  <c:v>43149</c:v>
                </c:pt>
                <c:pt idx="164">
                  <c:v>43156</c:v>
                </c:pt>
                <c:pt idx="165">
                  <c:v>43163</c:v>
                </c:pt>
                <c:pt idx="166">
                  <c:v>43170</c:v>
                </c:pt>
                <c:pt idx="167">
                  <c:v>43177</c:v>
                </c:pt>
                <c:pt idx="168">
                  <c:v>43184</c:v>
                </c:pt>
                <c:pt idx="169">
                  <c:v>43191</c:v>
                </c:pt>
                <c:pt idx="170">
                  <c:v>43198</c:v>
                </c:pt>
                <c:pt idx="171">
                  <c:v>43205</c:v>
                </c:pt>
                <c:pt idx="172">
                  <c:v>43212</c:v>
                </c:pt>
                <c:pt idx="173">
                  <c:v>43219</c:v>
                </c:pt>
                <c:pt idx="174">
                  <c:v>43226</c:v>
                </c:pt>
                <c:pt idx="175">
                  <c:v>43233</c:v>
                </c:pt>
                <c:pt idx="176">
                  <c:v>43240</c:v>
                </c:pt>
                <c:pt idx="177">
                  <c:v>43247</c:v>
                </c:pt>
                <c:pt idx="178">
                  <c:v>43254</c:v>
                </c:pt>
                <c:pt idx="179">
                  <c:v>43261</c:v>
                </c:pt>
                <c:pt idx="180">
                  <c:v>43268</c:v>
                </c:pt>
                <c:pt idx="181">
                  <c:v>43275</c:v>
                </c:pt>
                <c:pt idx="182">
                  <c:v>43282</c:v>
                </c:pt>
                <c:pt idx="183">
                  <c:v>43289</c:v>
                </c:pt>
                <c:pt idx="184">
                  <c:v>43296</c:v>
                </c:pt>
                <c:pt idx="185">
                  <c:v>43303</c:v>
                </c:pt>
                <c:pt idx="186">
                  <c:v>43310</c:v>
                </c:pt>
                <c:pt idx="187">
                  <c:v>43317</c:v>
                </c:pt>
                <c:pt idx="188">
                  <c:v>43324</c:v>
                </c:pt>
                <c:pt idx="189">
                  <c:v>43331</c:v>
                </c:pt>
                <c:pt idx="190">
                  <c:v>43338</c:v>
                </c:pt>
                <c:pt idx="191">
                  <c:v>43345</c:v>
                </c:pt>
                <c:pt idx="192">
                  <c:v>43352</c:v>
                </c:pt>
                <c:pt idx="193">
                  <c:v>43359</c:v>
                </c:pt>
                <c:pt idx="194">
                  <c:v>43366</c:v>
                </c:pt>
                <c:pt idx="195">
                  <c:v>43373</c:v>
                </c:pt>
                <c:pt idx="196">
                  <c:v>43380</c:v>
                </c:pt>
                <c:pt idx="197">
                  <c:v>43387</c:v>
                </c:pt>
                <c:pt idx="198">
                  <c:v>43394</c:v>
                </c:pt>
                <c:pt idx="199">
                  <c:v>43401</c:v>
                </c:pt>
                <c:pt idx="200">
                  <c:v>43408</c:v>
                </c:pt>
                <c:pt idx="201">
                  <c:v>43415</c:v>
                </c:pt>
                <c:pt idx="202">
                  <c:v>43422</c:v>
                </c:pt>
                <c:pt idx="203">
                  <c:v>43429</c:v>
                </c:pt>
                <c:pt idx="204">
                  <c:v>43436</c:v>
                </c:pt>
                <c:pt idx="205">
                  <c:v>43443</c:v>
                </c:pt>
                <c:pt idx="206">
                  <c:v>43450</c:v>
                </c:pt>
                <c:pt idx="207">
                  <c:v>43457</c:v>
                </c:pt>
                <c:pt idx="208">
                  <c:v>43464</c:v>
                </c:pt>
                <c:pt idx="209">
                  <c:v>43471</c:v>
                </c:pt>
                <c:pt idx="210">
                  <c:v>43478</c:v>
                </c:pt>
                <c:pt idx="211">
                  <c:v>43485</c:v>
                </c:pt>
                <c:pt idx="212">
                  <c:v>43492</c:v>
                </c:pt>
                <c:pt idx="213">
                  <c:v>43499</c:v>
                </c:pt>
                <c:pt idx="214">
                  <c:v>43506</c:v>
                </c:pt>
                <c:pt idx="215">
                  <c:v>43513</c:v>
                </c:pt>
                <c:pt idx="216">
                  <c:v>43520</c:v>
                </c:pt>
                <c:pt idx="217">
                  <c:v>43527</c:v>
                </c:pt>
                <c:pt idx="218">
                  <c:v>43534</c:v>
                </c:pt>
                <c:pt idx="219">
                  <c:v>43541</c:v>
                </c:pt>
                <c:pt idx="220">
                  <c:v>43548</c:v>
                </c:pt>
                <c:pt idx="221">
                  <c:v>43555</c:v>
                </c:pt>
                <c:pt idx="222">
                  <c:v>43562</c:v>
                </c:pt>
                <c:pt idx="223">
                  <c:v>43569</c:v>
                </c:pt>
                <c:pt idx="224">
                  <c:v>43576</c:v>
                </c:pt>
                <c:pt idx="225">
                  <c:v>43583</c:v>
                </c:pt>
                <c:pt idx="226">
                  <c:v>43590</c:v>
                </c:pt>
                <c:pt idx="227">
                  <c:v>43597</c:v>
                </c:pt>
                <c:pt idx="228">
                  <c:v>43604</c:v>
                </c:pt>
                <c:pt idx="229">
                  <c:v>43611</c:v>
                </c:pt>
                <c:pt idx="230">
                  <c:v>43618</c:v>
                </c:pt>
                <c:pt idx="231">
                  <c:v>43625</c:v>
                </c:pt>
                <c:pt idx="232">
                  <c:v>43632</c:v>
                </c:pt>
                <c:pt idx="233">
                  <c:v>43639</c:v>
                </c:pt>
                <c:pt idx="234">
                  <c:v>43646</c:v>
                </c:pt>
                <c:pt idx="235">
                  <c:v>43653</c:v>
                </c:pt>
                <c:pt idx="236">
                  <c:v>43660</c:v>
                </c:pt>
                <c:pt idx="237">
                  <c:v>43667</c:v>
                </c:pt>
                <c:pt idx="238">
                  <c:v>43674</c:v>
                </c:pt>
                <c:pt idx="239">
                  <c:v>43681</c:v>
                </c:pt>
                <c:pt idx="240">
                  <c:v>43688</c:v>
                </c:pt>
                <c:pt idx="241">
                  <c:v>43695</c:v>
                </c:pt>
                <c:pt idx="242">
                  <c:v>43702</c:v>
                </c:pt>
                <c:pt idx="243">
                  <c:v>43709</c:v>
                </c:pt>
                <c:pt idx="244">
                  <c:v>43716</c:v>
                </c:pt>
                <c:pt idx="245">
                  <c:v>43723</c:v>
                </c:pt>
                <c:pt idx="246">
                  <c:v>43730</c:v>
                </c:pt>
                <c:pt idx="247">
                  <c:v>43737</c:v>
                </c:pt>
                <c:pt idx="248">
                  <c:v>43744</c:v>
                </c:pt>
                <c:pt idx="249">
                  <c:v>43751</c:v>
                </c:pt>
                <c:pt idx="250">
                  <c:v>43758</c:v>
                </c:pt>
                <c:pt idx="251">
                  <c:v>43765</c:v>
                </c:pt>
                <c:pt idx="252">
                  <c:v>43772</c:v>
                </c:pt>
                <c:pt idx="253">
                  <c:v>43779</c:v>
                </c:pt>
                <c:pt idx="254">
                  <c:v>43786</c:v>
                </c:pt>
                <c:pt idx="255">
                  <c:v>43793</c:v>
                </c:pt>
                <c:pt idx="256">
                  <c:v>43800</c:v>
                </c:pt>
                <c:pt idx="257">
                  <c:v>43807</c:v>
                </c:pt>
                <c:pt idx="258">
                  <c:v>43814</c:v>
                </c:pt>
                <c:pt idx="259">
                  <c:v>43821</c:v>
                </c:pt>
                <c:pt idx="260">
                  <c:v>43828</c:v>
                </c:pt>
                <c:pt idx="261">
                  <c:v>43835</c:v>
                </c:pt>
                <c:pt idx="262">
                  <c:v>43842</c:v>
                </c:pt>
                <c:pt idx="263">
                  <c:v>43849</c:v>
                </c:pt>
                <c:pt idx="264">
                  <c:v>43856</c:v>
                </c:pt>
                <c:pt idx="265">
                  <c:v>43863</c:v>
                </c:pt>
                <c:pt idx="266">
                  <c:v>43870</c:v>
                </c:pt>
                <c:pt idx="267">
                  <c:v>43877</c:v>
                </c:pt>
                <c:pt idx="268">
                  <c:v>43884</c:v>
                </c:pt>
                <c:pt idx="269">
                  <c:v>43891</c:v>
                </c:pt>
                <c:pt idx="270">
                  <c:v>43898</c:v>
                </c:pt>
                <c:pt idx="271">
                  <c:v>43905</c:v>
                </c:pt>
                <c:pt idx="272">
                  <c:v>43912</c:v>
                </c:pt>
                <c:pt idx="273">
                  <c:v>43919</c:v>
                </c:pt>
              </c:numCache>
            </c:numRef>
          </c:cat>
          <c:val>
            <c:numRef>
              <c:f>'Listed&amp;Price'!$D$19:$D$292</c:f>
              <c:numCache>
                <c:formatCode>General</c:formatCode>
                <c:ptCount val="274"/>
                <c:pt idx="0">
                  <c:v>100</c:v>
                </c:pt>
                <c:pt idx="1">
                  <c:v>81.81</c:v>
                </c:pt>
                <c:pt idx="2">
                  <c:v>78.62</c:v>
                </c:pt>
                <c:pt idx="3">
                  <c:v>75.98</c:v>
                </c:pt>
                <c:pt idx="4">
                  <c:v>72.06</c:v>
                </c:pt>
                <c:pt idx="5">
                  <c:v>65.95</c:v>
                </c:pt>
                <c:pt idx="6">
                  <c:v>49.87</c:v>
                </c:pt>
                <c:pt idx="7">
                  <c:v>15.9</c:v>
                </c:pt>
                <c:pt idx="8">
                  <c:v>57.33</c:v>
                </c:pt>
                <c:pt idx="9">
                  <c:v>77.569999999999993</c:v>
                </c:pt>
                <c:pt idx="10">
                  <c:v>78.22</c:v>
                </c:pt>
                <c:pt idx="11">
                  <c:v>82.2</c:v>
                </c:pt>
                <c:pt idx="12">
                  <c:v>80.53</c:v>
                </c:pt>
                <c:pt idx="13">
                  <c:v>90.69</c:v>
                </c:pt>
                <c:pt idx="14">
                  <c:v>91.43</c:v>
                </c:pt>
                <c:pt idx="15">
                  <c:v>104.35</c:v>
                </c:pt>
                <c:pt idx="16">
                  <c:v>98.09</c:v>
                </c:pt>
                <c:pt idx="17">
                  <c:v>112.45</c:v>
                </c:pt>
                <c:pt idx="18">
                  <c:v>99.51</c:v>
                </c:pt>
                <c:pt idx="19">
                  <c:v>96.88</c:v>
                </c:pt>
                <c:pt idx="20">
                  <c:v>102.06</c:v>
                </c:pt>
                <c:pt idx="21">
                  <c:v>98.74</c:v>
                </c:pt>
                <c:pt idx="22">
                  <c:v>122.59</c:v>
                </c:pt>
                <c:pt idx="23">
                  <c:v>115.35</c:v>
                </c:pt>
                <c:pt idx="24">
                  <c:v>109.75</c:v>
                </c:pt>
                <c:pt idx="25">
                  <c:v>109.07</c:v>
                </c:pt>
                <c:pt idx="26">
                  <c:v>117.8</c:v>
                </c:pt>
                <c:pt idx="27">
                  <c:v>117.58</c:v>
                </c:pt>
                <c:pt idx="28">
                  <c:v>116.9</c:v>
                </c:pt>
                <c:pt idx="29">
                  <c:v>117.73</c:v>
                </c:pt>
                <c:pt idx="30">
                  <c:v>128.31</c:v>
                </c:pt>
                <c:pt idx="31">
                  <c:v>127.89</c:v>
                </c:pt>
                <c:pt idx="32">
                  <c:v>120.19</c:v>
                </c:pt>
                <c:pt idx="33">
                  <c:v>107.15</c:v>
                </c:pt>
                <c:pt idx="34">
                  <c:v>123.56</c:v>
                </c:pt>
                <c:pt idx="35">
                  <c:v>131.19999999999999</c:v>
                </c:pt>
                <c:pt idx="36">
                  <c:v>135.35</c:v>
                </c:pt>
                <c:pt idx="37">
                  <c:v>146.81</c:v>
                </c:pt>
                <c:pt idx="38">
                  <c:v>142.91999999999999</c:v>
                </c:pt>
                <c:pt idx="39">
                  <c:v>140.81</c:v>
                </c:pt>
                <c:pt idx="40">
                  <c:v>127.75</c:v>
                </c:pt>
                <c:pt idx="41">
                  <c:v>147.4</c:v>
                </c:pt>
                <c:pt idx="42">
                  <c:v>137.05000000000001</c:v>
                </c:pt>
                <c:pt idx="43">
                  <c:v>142.94999999999999</c:v>
                </c:pt>
                <c:pt idx="44">
                  <c:v>151.71</c:v>
                </c:pt>
                <c:pt idx="45">
                  <c:v>133.25</c:v>
                </c:pt>
                <c:pt idx="46">
                  <c:v>146.9</c:v>
                </c:pt>
                <c:pt idx="47">
                  <c:v>142.94</c:v>
                </c:pt>
                <c:pt idx="48">
                  <c:v>150.38999999999999</c:v>
                </c:pt>
                <c:pt idx="49">
                  <c:v>138.36000000000001</c:v>
                </c:pt>
                <c:pt idx="50">
                  <c:v>137.47999999999999</c:v>
                </c:pt>
                <c:pt idx="51">
                  <c:v>129.11000000000001</c:v>
                </c:pt>
                <c:pt idx="52">
                  <c:v>171.64</c:v>
                </c:pt>
                <c:pt idx="53">
                  <c:v>142.29</c:v>
                </c:pt>
                <c:pt idx="54">
                  <c:v>134.04</c:v>
                </c:pt>
                <c:pt idx="55">
                  <c:v>120.5</c:v>
                </c:pt>
                <c:pt idx="56">
                  <c:v>114.11</c:v>
                </c:pt>
                <c:pt idx="57">
                  <c:v>112.55</c:v>
                </c:pt>
                <c:pt idx="58">
                  <c:v>77.88</c:v>
                </c:pt>
                <c:pt idx="59">
                  <c:v>154.21</c:v>
                </c:pt>
                <c:pt idx="60">
                  <c:v>157.6</c:v>
                </c:pt>
                <c:pt idx="61">
                  <c:v>178.63</c:v>
                </c:pt>
                <c:pt idx="62">
                  <c:v>174.36</c:v>
                </c:pt>
                <c:pt idx="63">
                  <c:v>147.06</c:v>
                </c:pt>
                <c:pt idx="64">
                  <c:v>152.6</c:v>
                </c:pt>
                <c:pt idx="65">
                  <c:v>164.57</c:v>
                </c:pt>
                <c:pt idx="66">
                  <c:v>166.76</c:v>
                </c:pt>
                <c:pt idx="67">
                  <c:v>185.79</c:v>
                </c:pt>
                <c:pt idx="68">
                  <c:v>159.91999999999999</c:v>
                </c:pt>
                <c:pt idx="69">
                  <c:v>156.41999999999999</c:v>
                </c:pt>
                <c:pt idx="70">
                  <c:v>160.4</c:v>
                </c:pt>
                <c:pt idx="71">
                  <c:v>177.8</c:v>
                </c:pt>
                <c:pt idx="72">
                  <c:v>177.57</c:v>
                </c:pt>
                <c:pt idx="73">
                  <c:v>157</c:v>
                </c:pt>
                <c:pt idx="74">
                  <c:v>136.72</c:v>
                </c:pt>
                <c:pt idx="75">
                  <c:v>124.7</c:v>
                </c:pt>
                <c:pt idx="76">
                  <c:v>123.64</c:v>
                </c:pt>
                <c:pt idx="77">
                  <c:v>122.94</c:v>
                </c:pt>
                <c:pt idx="78">
                  <c:v>126.64</c:v>
                </c:pt>
                <c:pt idx="79">
                  <c:v>132.41</c:v>
                </c:pt>
                <c:pt idx="80">
                  <c:v>133.24</c:v>
                </c:pt>
                <c:pt idx="81">
                  <c:v>130.38</c:v>
                </c:pt>
                <c:pt idx="82">
                  <c:v>123.6</c:v>
                </c:pt>
                <c:pt idx="83">
                  <c:v>86.03</c:v>
                </c:pt>
                <c:pt idx="84">
                  <c:v>137.06</c:v>
                </c:pt>
                <c:pt idx="85">
                  <c:v>129.75</c:v>
                </c:pt>
                <c:pt idx="86">
                  <c:v>120.68</c:v>
                </c:pt>
                <c:pt idx="87">
                  <c:v>135.04</c:v>
                </c:pt>
                <c:pt idx="88">
                  <c:v>115.38</c:v>
                </c:pt>
                <c:pt idx="89">
                  <c:v>99.2</c:v>
                </c:pt>
                <c:pt idx="90">
                  <c:v>110.33</c:v>
                </c:pt>
                <c:pt idx="91">
                  <c:v>116.5</c:v>
                </c:pt>
                <c:pt idx="92">
                  <c:v>110.87</c:v>
                </c:pt>
                <c:pt idx="93">
                  <c:v>106.48</c:v>
                </c:pt>
                <c:pt idx="94">
                  <c:v>88.38</c:v>
                </c:pt>
                <c:pt idx="95">
                  <c:v>78.88</c:v>
                </c:pt>
                <c:pt idx="96">
                  <c:v>85.33</c:v>
                </c:pt>
                <c:pt idx="97">
                  <c:v>105.32</c:v>
                </c:pt>
                <c:pt idx="98">
                  <c:v>105.14</c:v>
                </c:pt>
                <c:pt idx="99">
                  <c:v>82.25</c:v>
                </c:pt>
                <c:pt idx="100">
                  <c:v>97.2</c:v>
                </c:pt>
                <c:pt idx="101">
                  <c:v>88.44</c:v>
                </c:pt>
                <c:pt idx="102">
                  <c:v>89.61</c:v>
                </c:pt>
                <c:pt idx="103">
                  <c:v>78.55</c:v>
                </c:pt>
                <c:pt idx="104">
                  <c:v>81.93</c:v>
                </c:pt>
                <c:pt idx="105">
                  <c:v>87.18</c:v>
                </c:pt>
                <c:pt idx="106">
                  <c:v>73.739999999999995</c:v>
                </c:pt>
                <c:pt idx="107">
                  <c:v>84.12</c:v>
                </c:pt>
                <c:pt idx="108">
                  <c:v>20.82</c:v>
                </c:pt>
                <c:pt idx="109">
                  <c:v>44.68</c:v>
                </c:pt>
                <c:pt idx="110">
                  <c:v>103.11</c:v>
                </c:pt>
                <c:pt idx="111">
                  <c:v>116.51</c:v>
                </c:pt>
                <c:pt idx="112">
                  <c:v>131.93</c:v>
                </c:pt>
                <c:pt idx="113">
                  <c:v>149.1</c:v>
                </c:pt>
                <c:pt idx="114">
                  <c:v>151.33000000000001</c:v>
                </c:pt>
                <c:pt idx="115">
                  <c:v>149.6</c:v>
                </c:pt>
                <c:pt idx="116">
                  <c:v>147.19</c:v>
                </c:pt>
                <c:pt idx="117">
                  <c:v>130.09</c:v>
                </c:pt>
                <c:pt idx="118">
                  <c:v>143.13999999999999</c:v>
                </c:pt>
                <c:pt idx="119">
                  <c:v>113.75</c:v>
                </c:pt>
                <c:pt idx="120">
                  <c:v>106.22</c:v>
                </c:pt>
                <c:pt idx="121">
                  <c:v>128.35</c:v>
                </c:pt>
                <c:pt idx="122">
                  <c:v>124.45</c:v>
                </c:pt>
                <c:pt idx="123">
                  <c:v>129.96</c:v>
                </c:pt>
                <c:pt idx="124">
                  <c:v>99.09</c:v>
                </c:pt>
                <c:pt idx="125">
                  <c:v>122.53</c:v>
                </c:pt>
                <c:pt idx="126">
                  <c:v>158.96</c:v>
                </c:pt>
                <c:pt idx="127">
                  <c:v>140.19</c:v>
                </c:pt>
                <c:pt idx="128">
                  <c:v>117.34</c:v>
                </c:pt>
                <c:pt idx="129">
                  <c:v>148.26</c:v>
                </c:pt>
                <c:pt idx="130">
                  <c:v>124.66</c:v>
                </c:pt>
                <c:pt idx="131">
                  <c:v>123.24</c:v>
                </c:pt>
                <c:pt idx="132">
                  <c:v>106.1</c:v>
                </c:pt>
                <c:pt idx="133">
                  <c:v>110.81</c:v>
                </c:pt>
                <c:pt idx="134">
                  <c:v>105.03</c:v>
                </c:pt>
                <c:pt idx="135">
                  <c:v>143.13</c:v>
                </c:pt>
                <c:pt idx="136">
                  <c:v>124.71</c:v>
                </c:pt>
                <c:pt idx="137">
                  <c:v>129.12</c:v>
                </c:pt>
                <c:pt idx="138">
                  <c:v>112.98</c:v>
                </c:pt>
                <c:pt idx="139">
                  <c:v>139.59</c:v>
                </c:pt>
                <c:pt idx="140">
                  <c:v>134.88999999999999</c:v>
                </c:pt>
                <c:pt idx="141">
                  <c:v>119.03</c:v>
                </c:pt>
                <c:pt idx="142">
                  <c:v>118.44</c:v>
                </c:pt>
                <c:pt idx="143">
                  <c:v>103.05</c:v>
                </c:pt>
                <c:pt idx="144">
                  <c:v>64.12</c:v>
                </c:pt>
                <c:pt idx="145">
                  <c:v>113.1</c:v>
                </c:pt>
                <c:pt idx="146">
                  <c:v>126.84</c:v>
                </c:pt>
                <c:pt idx="147">
                  <c:v>101.61</c:v>
                </c:pt>
                <c:pt idx="148">
                  <c:v>115.5</c:v>
                </c:pt>
                <c:pt idx="149">
                  <c:v>99.06</c:v>
                </c:pt>
                <c:pt idx="150">
                  <c:v>104</c:v>
                </c:pt>
                <c:pt idx="151">
                  <c:v>101.35</c:v>
                </c:pt>
                <c:pt idx="152">
                  <c:v>117.53</c:v>
                </c:pt>
                <c:pt idx="153">
                  <c:v>115.83</c:v>
                </c:pt>
                <c:pt idx="154">
                  <c:v>97.22</c:v>
                </c:pt>
                <c:pt idx="155">
                  <c:v>78.19</c:v>
                </c:pt>
                <c:pt idx="156">
                  <c:v>65.38</c:v>
                </c:pt>
                <c:pt idx="157">
                  <c:v>100.03</c:v>
                </c:pt>
                <c:pt idx="158">
                  <c:v>63.44</c:v>
                </c:pt>
                <c:pt idx="159">
                  <c:v>62.37</c:v>
                </c:pt>
                <c:pt idx="160">
                  <c:v>56.16</c:v>
                </c:pt>
                <c:pt idx="161">
                  <c:v>69.349999999999994</c:v>
                </c:pt>
                <c:pt idx="162">
                  <c:v>43.92</c:v>
                </c:pt>
                <c:pt idx="163">
                  <c:v>29.51</c:v>
                </c:pt>
                <c:pt idx="164">
                  <c:v>34.159999999999997</c:v>
                </c:pt>
                <c:pt idx="165">
                  <c:v>66.61</c:v>
                </c:pt>
                <c:pt idx="166">
                  <c:v>68.34</c:v>
                </c:pt>
                <c:pt idx="167">
                  <c:v>54.27</c:v>
                </c:pt>
                <c:pt idx="168">
                  <c:v>66.989999999999995</c:v>
                </c:pt>
                <c:pt idx="169">
                  <c:v>115.49</c:v>
                </c:pt>
                <c:pt idx="170">
                  <c:v>105.09</c:v>
                </c:pt>
                <c:pt idx="171">
                  <c:v>129.19999999999999</c:v>
                </c:pt>
                <c:pt idx="172">
                  <c:v>81.599999999999994</c:v>
                </c:pt>
                <c:pt idx="173">
                  <c:v>110.22</c:v>
                </c:pt>
                <c:pt idx="174">
                  <c:v>154.96</c:v>
                </c:pt>
                <c:pt idx="175">
                  <c:v>143.34</c:v>
                </c:pt>
                <c:pt idx="176">
                  <c:v>116.82</c:v>
                </c:pt>
                <c:pt idx="177">
                  <c:v>92.01</c:v>
                </c:pt>
                <c:pt idx="178">
                  <c:v>126.57</c:v>
                </c:pt>
                <c:pt idx="179">
                  <c:v>120.38</c:v>
                </c:pt>
                <c:pt idx="180">
                  <c:v>85.37</c:v>
                </c:pt>
                <c:pt idx="181">
                  <c:v>68.73</c:v>
                </c:pt>
                <c:pt idx="182">
                  <c:v>95.44</c:v>
                </c:pt>
                <c:pt idx="183">
                  <c:v>136.11000000000001</c:v>
                </c:pt>
                <c:pt idx="184">
                  <c:v>113.48</c:v>
                </c:pt>
                <c:pt idx="185">
                  <c:v>75.5</c:v>
                </c:pt>
                <c:pt idx="186">
                  <c:v>99.69</c:v>
                </c:pt>
                <c:pt idx="187">
                  <c:v>143.04</c:v>
                </c:pt>
                <c:pt idx="188">
                  <c:v>123.33</c:v>
                </c:pt>
                <c:pt idx="189">
                  <c:v>117.09</c:v>
                </c:pt>
                <c:pt idx="190">
                  <c:v>108.6</c:v>
                </c:pt>
                <c:pt idx="191">
                  <c:v>127.96</c:v>
                </c:pt>
                <c:pt idx="192">
                  <c:v>142.16999999999999</c:v>
                </c:pt>
                <c:pt idx="193">
                  <c:v>94.78</c:v>
                </c:pt>
                <c:pt idx="194">
                  <c:v>55.39</c:v>
                </c:pt>
                <c:pt idx="195">
                  <c:v>69.569999999999993</c:v>
                </c:pt>
                <c:pt idx="196">
                  <c:v>112.19</c:v>
                </c:pt>
                <c:pt idx="197">
                  <c:v>104.82</c:v>
                </c:pt>
                <c:pt idx="198">
                  <c:v>79.680000000000007</c:v>
                </c:pt>
                <c:pt idx="199">
                  <c:v>48.09</c:v>
                </c:pt>
                <c:pt idx="200">
                  <c:v>76.75</c:v>
                </c:pt>
                <c:pt idx="201">
                  <c:v>72.36</c:v>
                </c:pt>
                <c:pt idx="202">
                  <c:v>57.1</c:v>
                </c:pt>
                <c:pt idx="203">
                  <c:v>73.41</c:v>
                </c:pt>
                <c:pt idx="204">
                  <c:v>74.709999999999994</c:v>
                </c:pt>
                <c:pt idx="205">
                  <c:v>83.15</c:v>
                </c:pt>
                <c:pt idx="206">
                  <c:v>99.43</c:v>
                </c:pt>
                <c:pt idx="207">
                  <c:v>86.65</c:v>
                </c:pt>
                <c:pt idx="208">
                  <c:v>73.28</c:v>
                </c:pt>
                <c:pt idx="209">
                  <c:v>122.45</c:v>
                </c:pt>
                <c:pt idx="210">
                  <c:v>113.15</c:v>
                </c:pt>
                <c:pt idx="211">
                  <c:v>85.91</c:v>
                </c:pt>
                <c:pt idx="212">
                  <c:v>58.41</c:v>
                </c:pt>
                <c:pt idx="213">
                  <c:v>46.45</c:v>
                </c:pt>
                <c:pt idx="214">
                  <c:v>23.15</c:v>
                </c:pt>
                <c:pt idx="215">
                  <c:v>107.49</c:v>
                </c:pt>
                <c:pt idx="216">
                  <c:v>96.88</c:v>
                </c:pt>
                <c:pt idx="217">
                  <c:v>114.1</c:v>
                </c:pt>
                <c:pt idx="218">
                  <c:v>89.77</c:v>
                </c:pt>
                <c:pt idx="219">
                  <c:v>83.56</c:v>
                </c:pt>
                <c:pt idx="220">
                  <c:v>81.599999999999994</c:v>
                </c:pt>
                <c:pt idx="221">
                  <c:v>63.44</c:v>
                </c:pt>
                <c:pt idx="222">
                  <c:v>88</c:v>
                </c:pt>
                <c:pt idx="223">
                  <c:v>67.069999999999993</c:v>
                </c:pt>
                <c:pt idx="224">
                  <c:v>96.49</c:v>
                </c:pt>
                <c:pt idx="225">
                  <c:v>74.2</c:v>
                </c:pt>
                <c:pt idx="226">
                  <c:v>108.02</c:v>
                </c:pt>
                <c:pt idx="227">
                  <c:v>96.74</c:v>
                </c:pt>
                <c:pt idx="228">
                  <c:v>64.7</c:v>
                </c:pt>
                <c:pt idx="229">
                  <c:v>66.98</c:v>
                </c:pt>
                <c:pt idx="230">
                  <c:v>90.69</c:v>
                </c:pt>
                <c:pt idx="231">
                  <c:v>96.18</c:v>
                </c:pt>
                <c:pt idx="232">
                  <c:v>76.48</c:v>
                </c:pt>
                <c:pt idx="233">
                  <c:v>65.05</c:v>
                </c:pt>
                <c:pt idx="234">
                  <c:v>50.77</c:v>
                </c:pt>
                <c:pt idx="235">
                  <c:v>79.78</c:v>
                </c:pt>
                <c:pt idx="236">
                  <c:v>48.35</c:v>
                </c:pt>
                <c:pt idx="237">
                  <c:v>34.130000000000003</c:v>
                </c:pt>
                <c:pt idx="238">
                  <c:v>35.659999999999997</c:v>
                </c:pt>
                <c:pt idx="239">
                  <c:v>54.46</c:v>
                </c:pt>
                <c:pt idx="240">
                  <c:v>56.65</c:v>
                </c:pt>
                <c:pt idx="241">
                  <c:v>39.369999999999997</c:v>
                </c:pt>
                <c:pt idx="242">
                  <c:v>30.05</c:v>
                </c:pt>
                <c:pt idx="243">
                  <c:v>37.71</c:v>
                </c:pt>
                <c:pt idx="244">
                  <c:v>49.2</c:v>
                </c:pt>
                <c:pt idx="245">
                  <c:v>29.11</c:v>
                </c:pt>
                <c:pt idx="246">
                  <c:v>27.32</c:v>
                </c:pt>
                <c:pt idx="247">
                  <c:v>29.41</c:v>
                </c:pt>
                <c:pt idx="248">
                  <c:v>37.99</c:v>
                </c:pt>
                <c:pt idx="249">
                  <c:v>30.21</c:v>
                </c:pt>
                <c:pt idx="250">
                  <c:v>30.76</c:v>
                </c:pt>
                <c:pt idx="251">
                  <c:v>30.1</c:v>
                </c:pt>
                <c:pt idx="252">
                  <c:v>39.380000000000003</c:v>
                </c:pt>
                <c:pt idx="253">
                  <c:v>39.119999999999997</c:v>
                </c:pt>
                <c:pt idx="254">
                  <c:v>34.799999999999997</c:v>
                </c:pt>
                <c:pt idx="255">
                  <c:v>29.84</c:v>
                </c:pt>
                <c:pt idx="256">
                  <c:v>28.86</c:v>
                </c:pt>
                <c:pt idx="257">
                  <c:v>32.380000000000003</c:v>
                </c:pt>
                <c:pt idx="258">
                  <c:v>25.77</c:v>
                </c:pt>
                <c:pt idx="259">
                  <c:v>21.91</c:v>
                </c:pt>
                <c:pt idx="260">
                  <c:v>19.559999999999999</c:v>
                </c:pt>
                <c:pt idx="261">
                  <c:v>31.59</c:v>
                </c:pt>
                <c:pt idx="262">
                  <c:v>30.88</c:v>
                </c:pt>
                <c:pt idx="263">
                  <c:v>30.74</c:v>
                </c:pt>
                <c:pt idx="264">
                  <c:v>16.59</c:v>
                </c:pt>
                <c:pt idx="265">
                  <c:v>13.19</c:v>
                </c:pt>
                <c:pt idx="266">
                  <c:v>21.01</c:v>
                </c:pt>
                <c:pt idx="267">
                  <c:v>23.62</c:v>
                </c:pt>
                <c:pt idx="268">
                  <c:v>25.56</c:v>
                </c:pt>
                <c:pt idx="269">
                  <c:v>32.26</c:v>
                </c:pt>
                <c:pt idx="270">
                  <c:v>32.78</c:v>
                </c:pt>
                <c:pt idx="271">
                  <c:v>32.619999999999997</c:v>
                </c:pt>
                <c:pt idx="272">
                  <c:v>34.35</c:v>
                </c:pt>
                <c:pt idx="273">
                  <c:v>34.4</c:v>
                </c:pt>
              </c:numCache>
            </c:numRef>
          </c:val>
          <c:extLst>
            <c:ext xmlns:c16="http://schemas.microsoft.com/office/drawing/2014/chart" uri="{C3380CC4-5D6E-409C-BE32-E72D297353CC}">
              <c16:uniqueId val="{00000000-7D87-4556-9CDF-223E6C66E656}"/>
            </c:ext>
          </c:extLst>
        </c:ser>
        <c:dLbls>
          <c:showLegendKey val="0"/>
          <c:showVal val="0"/>
          <c:showCatName val="0"/>
          <c:showSerName val="0"/>
          <c:showPercent val="0"/>
          <c:showBubbleSize val="0"/>
        </c:dLbls>
        <c:gapWidth val="219"/>
        <c:axId val="-2022685312"/>
        <c:axId val="-2022697824"/>
      </c:barChart>
      <c:lineChart>
        <c:grouping val="standard"/>
        <c:varyColors val="0"/>
        <c:ser>
          <c:idx val="1"/>
          <c:order val="1"/>
          <c:tx>
            <c:strRef>
              <c:f>'Listed&amp;Price'!$E$18</c:f>
              <c:strCache>
                <c:ptCount val="1"/>
                <c:pt idx="0">
                  <c:v>Listed for-sale Price Index(RHS)</c:v>
                </c:pt>
              </c:strCache>
            </c:strRef>
          </c:tx>
          <c:spPr>
            <a:ln w="12700" cap="rnd">
              <a:solidFill>
                <a:srgbClr val="C00000"/>
              </a:solidFill>
              <a:round/>
            </a:ln>
            <a:effectLst/>
          </c:spPr>
          <c:marker>
            <c:symbol val="none"/>
          </c:marker>
          <c:cat>
            <c:numRef>
              <c:f>'Listed&amp;Price'!$A$19:$A$292</c:f>
              <c:numCache>
                <c:formatCode>m/d/yyyy</c:formatCode>
                <c:ptCount val="274"/>
                <c:pt idx="0">
                  <c:v>42008</c:v>
                </c:pt>
                <c:pt idx="1">
                  <c:v>42015</c:v>
                </c:pt>
                <c:pt idx="2">
                  <c:v>42022</c:v>
                </c:pt>
                <c:pt idx="3">
                  <c:v>42029</c:v>
                </c:pt>
                <c:pt idx="4">
                  <c:v>42036</c:v>
                </c:pt>
                <c:pt idx="5">
                  <c:v>42043</c:v>
                </c:pt>
                <c:pt idx="6">
                  <c:v>42050</c:v>
                </c:pt>
                <c:pt idx="7">
                  <c:v>42057</c:v>
                </c:pt>
                <c:pt idx="8">
                  <c:v>42064</c:v>
                </c:pt>
                <c:pt idx="9">
                  <c:v>42071</c:v>
                </c:pt>
                <c:pt idx="10">
                  <c:v>42078</c:v>
                </c:pt>
                <c:pt idx="11">
                  <c:v>42085</c:v>
                </c:pt>
                <c:pt idx="12">
                  <c:v>42092</c:v>
                </c:pt>
                <c:pt idx="13">
                  <c:v>42099</c:v>
                </c:pt>
                <c:pt idx="14">
                  <c:v>42106</c:v>
                </c:pt>
                <c:pt idx="15">
                  <c:v>42113</c:v>
                </c:pt>
                <c:pt idx="16">
                  <c:v>42120</c:v>
                </c:pt>
                <c:pt idx="17">
                  <c:v>42127</c:v>
                </c:pt>
                <c:pt idx="18">
                  <c:v>42134</c:v>
                </c:pt>
                <c:pt idx="19">
                  <c:v>42141</c:v>
                </c:pt>
                <c:pt idx="20">
                  <c:v>42148</c:v>
                </c:pt>
                <c:pt idx="21">
                  <c:v>42155</c:v>
                </c:pt>
                <c:pt idx="22">
                  <c:v>42162</c:v>
                </c:pt>
                <c:pt idx="23">
                  <c:v>42169</c:v>
                </c:pt>
                <c:pt idx="24">
                  <c:v>42176</c:v>
                </c:pt>
                <c:pt idx="25">
                  <c:v>42183</c:v>
                </c:pt>
                <c:pt idx="26">
                  <c:v>42190</c:v>
                </c:pt>
                <c:pt idx="27">
                  <c:v>42197</c:v>
                </c:pt>
                <c:pt idx="28">
                  <c:v>42204</c:v>
                </c:pt>
                <c:pt idx="29">
                  <c:v>42211</c:v>
                </c:pt>
                <c:pt idx="30">
                  <c:v>42218</c:v>
                </c:pt>
                <c:pt idx="31">
                  <c:v>42225</c:v>
                </c:pt>
                <c:pt idx="32">
                  <c:v>42232</c:v>
                </c:pt>
                <c:pt idx="33">
                  <c:v>42239</c:v>
                </c:pt>
                <c:pt idx="34">
                  <c:v>42246</c:v>
                </c:pt>
                <c:pt idx="35">
                  <c:v>42253</c:v>
                </c:pt>
                <c:pt idx="36">
                  <c:v>42260</c:v>
                </c:pt>
                <c:pt idx="37">
                  <c:v>42267</c:v>
                </c:pt>
                <c:pt idx="38">
                  <c:v>42274</c:v>
                </c:pt>
                <c:pt idx="39">
                  <c:v>42281</c:v>
                </c:pt>
                <c:pt idx="40">
                  <c:v>42288</c:v>
                </c:pt>
                <c:pt idx="41">
                  <c:v>42295</c:v>
                </c:pt>
                <c:pt idx="42">
                  <c:v>42302</c:v>
                </c:pt>
                <c:pt idx="43">
                  <c:v>42309</c:v>
                </c:pt>
                <c:pt idx="44">
                  <c:v>42316</c:v>
                </c:pt>
                <c:pt idx="45">
                  <c:v>42323</c:v>
                </c:pt>
                <c:pt idx="46">
                  <c:v>42330</c:v>
                </c:pt>
                <c:pt idx="47">
                  <c:v>42337</c:v>
                </c:pt>
                <c:pt idx="48">
                  <c:v>42344</c:v>
                </c:pt>
                <c:pt idx="49">
                  <c:v>42351</c:v>
                </c:pt>
                <c:pt idx="50">
                  <c:v>42358</c:v>
                </c:pt>
                <c:pt idx="51">
                  <c:v>42365</c:v>
                </c:pt>
                <c:pt idx="52">
                  <c:v>42372</c:v>
                </c:pt>
                <c:pt idx="53">
                  <c:v>42379</c:v>
                </c:pt>
                <c:pt idx="54">
                  <c:v>42386</c:v>
                </c:pt>
                <c:pt idx="55">
                  <c:v>42393</c:v>
                </c:pt>
                <c:pt idx="56">
                  <c:v>42400</c:v>
                </c:pt>
                <c:pt idx="57">
                  <c:v>42407</c:v>
                </c:pt>
                <c:pt idx="58">
                  <c:v>42414</c:v>
                </c:pt>
                <c:pt idx="59">
                  <c:v>42421</c:v>
                </c:pt>
                <c:pt idx="60">
                  <c:v>42428</c:v>
                </c:pt>
                <c:pt idx="61">
                  <c:v>42435</c:v>
                </c:pt>
                <c:pt idx="62">
                  <c:v>42442</c:v>
                </c:pt>
                <c:pt idx="63">
                  <c:v>42449</c:v>
                </c:pt>
                <c:pt idx="64">
                  <c:v>42456</c:v>
                </c:pt>
                <c:pt idx="65">
                  <c:v>42463</c:v>
                </c:pt>
                <c:pt idx="66">
                  <c:v>42470</c:v>
                </c:pt>
                <c:pt idx="67">
                  <c:v>42477</c:v>
                </c:pt>
                <c:pt idx="68">
                  <c:v>42484</c:v>
                </c:pt>
                <c:pt idx="69">
                  <c:v>42491</c:v>
                </c:pt>
                <c:pt idx="70">
                  <c:v>42498</c:v>
                </c:pt>
                <c:pt idx="71">
                  <c:v>42505</c:v>
                </c:pt>
                <c:pt idx="72">
                  <c:v>42512</c:v>
                </c:pt>
                <c:pt idx="73">
                  <c:v>42519</c:v>
                </c:pt>
                <c:pt idx="74">
                  <c:v>42526</c:v>
                </c:pt>
                <c:pt idx="75">
                  <c:v>42533</c:v>
                </c:pt>
                <c:pt idx="76">
                  <c:v>42540</c:v>
                </c:pt>
                <c:pt idx="77">
                  <c:v>42547</c:v>
                </c:pt>
                <c:pt idx="78">
                  <c:v>42554</c:v>
                </c:pt>
                <c:pt idx="79">
                  <c:v>42561</c:v>
                </c:pt>
                <c:pt idx="80">
                  <c:v>42568</c:v>
                </c:pt>
                <c:pt idx="81">
                  <c:v>42575</c:v>
                </c:pt>
                <c:pt idx="82">
                  <c:v>42582</c:v>
                </c:pt>
                <c:pt idx="83">
                  <c:v>42589</c:v>
                </c:pt>
                <c:pt idx="84">
                  <c:v>42596</c:v>
                </c:pt>
                <c:pt idx="85">
                  <c:v>42603</c:v>
                </c:pt>
                <c:pt idx="86">
                  <c:v>42610</c:v>
                </c:pt>
                <c:pt idx="87">
                  <c:v>42617</c:v>
                </c:pt>
                <c:pt idx="88">
                  <c:v>42624</c:v>
                </c:pt>
                <c:pt idx="89">
                  <c:v>42631</c:v>
                </c:pt>
                <c:pt idx="90">
                  <c:v>42638</c:v>
                </c:pt>
                <c:pt idx="91">
                  <c:v>42645</c:v>
                </c:pt>
                <c:pt idx="92">
                  <c:v>42652</c:v>
                </c:pt>
                <c:pt idx="93">
                  <c:v>42659</c:v>
                </c:pt>
                <c:pt idx="94">
                  <c:v>42666</c:v>
                </c:pt>
                <c:pt idx="95">
                  <c:v>42673</c:v>
                </c:pt>
                <c:pt idx="96">
                  <c:v>42680</c:v>
                </c:pt>
                <c:pt idx="97">
                  <c:v>42687</c:v>
                </c:pt>
                <c:pt idx="98">
                  <c:v>42694</c:v>
                </c:pt>
                <c:pt idx="99">
                  <c:v>42701</c:v>
                </c:pt>
                <c:pt idx="100">
                  <c:v>42708</c:v>
                </c:pt>
                <c:pt idx="101">
                  <c:v>42715</c:v>
                </c:pt>
                <c:pt idx="102">
                  <c:v>42722</c:v>
                </c:pt>
                <c:pt idx="103">
                  <c:v>42729</c:v>
                </c:pt>
                <c:pt idx="104">
                  <c:v>42736</c:v>
                </c:pt>
                <c:pt idx="105">
                  <c:v>42743</c:v>
                </c:pt>
                <c:pt idx="106">
                  <c:v>42750</c:v>
                </c:pt>
                <c:pt idx="107">
                  <c:v>42757</c:v>
                </c:pt>
                <c:pt idx="108">
                  <c:v>42764</c:v>
                </c:pt>
                <c:pt idx="109">
                  <c:v>42771</c:v>
                </c:pt>
                <c:pt idx="110">
                  <c:v>42778</c:v>
                </c:pt>
                <c:pt idx="111">
                  <c:v>42785</c:v>
                </c:pt>
                <c:pt idx="112">
                  <c:v>42792</c:v>
                </c:pt>
                <c:pt idx="113">
                  <c:v>42799</c:v>
                </c:pt>
                <c:pt idx="114">
                  <c:v>42806</c:v>
                </c:pt>
                <c:pt idx="115">
                  <c:v>42813</c:v>
                </c:pt>
                <c:pt idx="116">
                  <c:v>42820</c:v>
                </c:pt>
                <c:pt idx="117">
                  <c:v>42827</c:v>
                </c:pt>
                <c:pt idx="118">
                  <c:v>42834</c:v>
                </c:pt>
                <c:pt idx="119">
                  <c:v>42841</c:v>
                </c:pt>
                <c:pt idx="120">
                  <c:v>42848</c:v>
                </c:pt>
                <c:pt idx="121">
                  <c:v>42855</c:v>
                </c:pt>
                <c:pt idx="122">
                  <c:v>42862</c:v>
                </c:pt>
                <c:pt idx="123">
                  <c:v>42869</c:v>
                </c:pt>
                <c:pt idx="124">
                  <c:v>42876</c:v>
                </c:pt>
                <c:pt idx="125">
                  <c:v>42883</c:v>
                </c:pt>
                <c:pt idx="126">
                  <c:v>42890</c:v>
                </c:pt>
                <c:pt idx="127">
                  <c:v>42897</c:v>
                </c:pt>
                <c:pt idx="128">
                  <c:v>42904</c:v>
                </c:pt>
                <c:pt idx="129">
                  <c:v>42911</c:v>
                </c:pt>
                <c:pt idx="130">
                  <c:v>42918</c:v>
                </c:pt>
                <c:pt idx="131">
                  <c:v>42925</c:v>
                </c:pt>
                <c:pt idx="132">
                  <c:v>42932</c:v>
                </c:pt>
                <c:pt idx="133">
                  <c:v>42939</c:v>
                </c:pt>
                <c:pt idx="134">
                  <c:v>42946</c:v>
                </c:pt>
                <c:pt idx="135">
                  <c:v>42953</c:v>
                </c:pt>
                <c:pt idx="136">
                  <c:v>42960</c:v>
                </c:pt>
                <c:pt idx="137">
                  <c:v>42967</c:v>
                </c:pt>
                <c:pt idx="138">
                  <c:v>42974</c:v>
                </c:pt>
                <c:pt idx="139">
                  <c:v>42981</c:v>
                </c:pt>
                <c:pt idx="140">
                  <c:v>42988</c:v>
                </c:pt>
                <c:pt idx="141">
                  <c:v>42995</c:v>
                </c:pt>
                <c:pt idx="142">
                  <c:v>43002</c:v>
                </c:pt>
                <c:pt idx="143">
                  <c:v>43009</c:v>
                </c:pt>
                <c:pt idx="144">
                  <c:v>43016</c:v>
                </c:pt>
                <c:pt idx="145">
                  <c:v>43023</c:v>
                </c:pt>
                <c:pt idx="146">
                  <c:v>43030</c:v>
                </c:pt>
                <c:pt idx="147">
                  <c:v>43037</c:v>
                </c:pt>
                <c:pt idx="148">
                  <c:v>43044</c:v>
                </c:pt>
                <c:pt idx="149">
                  <c:v>43051</c:v>
                </c:pt>
                <c:pt idx="150">
                  <c:v>43058</c:v>
                </c:pt>
                <c:pt idx="151">
                  <c:v>43065</c:v>
                </c:pt>
                <c:pt idx="152">
                  <c:v>43072</c:v>
                </c:pt>
                <c:pt idx="153">
                  <c:v>43079</c:v>
                </c:pt>
                <c:pt idx="154">
                  <c:v>43086</c:v>
                </c:pt>
                <c:pt idx="155">
                  <c:v>43093</c:v>
                </c:pt>
                <c:pt idx="156">
                  <c:v>43100</c:v>
                </c:pt>
                <c:pt idx="157">
                  <c:v>43107</c:v>
                </c:pt>
                <c:pt idx="158">
                  <c:v>43114</c:v>
                </c:pt>
                <c:pt idx="159">
                  <c:v>43121</c:v>
                </c:pt>
                <c:pt idx="160">
                  <c:v>43128</c:v>
                </c:pt>
                <c:pt idx="161">
                  <c:v>43135</c:v>
                </c:pt>
                <c:pt idx="162">
                  <c:v>43142</c:v>
                </c:pt>
                <c:pt idx="163">
                  <c:v>43149</c:v>
                </c:pt>
                <c:pt idx="164">
                  <c:v>43156</c:v>
                </c:pt>
                <c:pt idx="165">
                  <c:v>43163</c:v>
                </c:pt>
                <c:pt idx="166">
                  <c:v>43170</c:v>
                </c:pt>
                <c:pt idx="167">
                  <c:v>43177</c:v>
                </c:pt>
                <c:pt idx="168">
                  <c:v>43184</c:v>
                </c:pt>
                <c:pt idx="169">
                  <c:v>43191</c:v>
                </c:pt>
                <c:pt idx="170">
                  <c:v>43198</c:v>
                </c:pt>
                <c:pt idx="171">
                  <c:v>43205</c:v>
                </c:pt>
                <c:pt idx="172">
                  <c:v>43212</c:v>
                </c:pt>
                <c:pt idx="173">
                  <c:v>43219</c:v>
                </c:pt>
                <c:pt idx="174">
                  <c:v>43226</c:v>
                </c:pt>
                <c:pt idx="175">
                  <c:v>43233</c:v>
                </c:pt>
                <c:pt idx="176">
                  <c:v>43240</c:v>
                </c:pt>
                <c:pt idx="177">
                  <c:v>43247</c:v>
                </c:pt>
                <c:pt idx="178">
                  <c:v>43254</c:v>
                </c:pt>
                <c:pt idx="179">
                  <c:v>43261</c:v>
                </c:pt>
                <c:pt idx="180">
                  <c:v>43268</c:v>
                </c:pt>
                <c:pt idx="181">
                  <c:v>43275</c:v>
                </c:pt>
                <c:pt idx="182">
                  <c:v>43282</c:v>
                </c:pt>
                <c:pt idx="183">
                  <c:v>43289</c:v>
                </c:pt>
                <c:pt idx="184">
                  <c:v>43296</c:v>
                </c:pt>
                <c:pt idx="185">
                  <c:v>43303</c:v>
                </c:pt>
                <c:pt idx="186">
                  <c:v>43310</c:v>
                </c:pt>
                <c:pt idx="187">
                  <c:v>43317</c:v>
                </c:pt>
                <c:pt idx="188">
                  <c:v>43324</c:v>
                </c:pt>
                <c:pt idx="189">
                  <c:v>43331</c:v>
                </c:pt>
                <c:pt idx="190">
                  <c:v>43338</c:v>
                </c:pt>
                <c:pt idx="191">
                  <c:v>43345</c:v>
                </c:pt>
                <c:pt idx="192">
                  <c:v>43352</c:v>
                </c:pt>
                <c:pt idx="193">
                  <c:v>43359</c:v>
                </c:pt>
                <c:pt idx="194">
                  <c:v>43366</c:v>
                </c:pt>
                <c:pt idx="195">
                  <c:v>43373</c:v>
                </c:pt>
                <c:pt idx="196">
                  <c:v>43380</c:v>
                </c:pt>
                <c:pt idx="197">
                  <c:v>43387</c:v>
                </c:pt>
                <c:pt idx="198">
                  <c:v>43394</c:v>
                </c:pt>
                <c:pt idx="199">
                  <c:v>43401</c:v>
                </c:pt>
                <c:pt idx="200">
                  <c:v>43408</c:v>
                </c:pt>
                <c:pt idx="201">
                  <c:v>43415</c:v>
                </c:pt>
                <c:pt idx="202">
                  <c:v>43422</c:v>
                </c:pt>
                <c:pt idx="203">
                  <c:v>43429</c:v>
                </c:pt>
                <c:pt idx="204">
                  <c:v>43436</c:v>
                </c:pt>
                <c:pt idx="205">
                  <c:v>43443</c:v>
                </c:pt>
                <c:pt idx="206">
                  <c:v>43450</c:v>
                </c:pt>
                <c:pt idx="207">
                  <c:v>43457</c:v>
                </c:pt>
                <c:pt idx="208">
                  <c:v>43464</c:v>
                </c:pt>
                <c:pt idx="209">
                  <c:v>43471</c:v>
                </c:pt>
                <c:pt idx="210">
                  <c:v>43478</c:v>
                </c:pt>
                <c:pt idx="211">
                  <c:v>43485</c:v>
                </c:pt>
                <c:pt idx="212">
                  <c:v>43492</c:v>
                </c:pt>
                <c:pt idx="213">
                  <c:v>43499</c:v>
                </c:pt>
                <c:pt idx="214">
                  <c:v>43506</c:v>
                </c:pt>
                <c:pt idx="215">
                  <c:v>43513</c:v>
                </c:pt>
                <c:pt idx="216">
                  <c:v>43520</c:v>
                </c:pt>
                <c:pt idx="217">
                  <c:v>43527</c:v>
                </c:pt>
                <c:pt idx="218">
                  <c:v>43534</c:v>
                </c:pt>
                <c:pt idx="219">
                  <c:v>43541</c:v>
                </c:pt>
                <c:pt idx="220">
                  <c:v>43548</c:v>
                </c:pt>
                <c:pt idx="221">
                  <c:v>43555</c:v>
                </c:pt>
                <c:pt idx="222">
                  <c:v>43562</c:v>
                </c:pt>
                <c:pt idx="223">
                  <c:v>43569</c:v>
                </c:pt>
                <c:pt idx="224">
                  <c:v>43576</c:v>
                </c:pt>
                <c:pt idx="225">
                  <c:v>43583</c:v>
                </c:pt>
                <c:pt idx="226">
                  <c:v>43590</c:v>
                </c:pt>
                <c:pt idx="227">
                  <c:v>43597</c:v>
                </c:pt>
                <c:pt idx="228">
                  <c:v>43604</c:v>
                </c:pt>
                <c:pt idx="229">
                  <c:v>43611</c:v>
                </c:pt>
                <c:pt idx="230">
                  <c:v>43618</c:v>
                </c:pt>
                <c:pt idx="231">
                  <c:v>43625</c:v>
                </c:pt>
                <c:pt idx="232">
                  <c:v>43632</c:v>
                </c:pt>
                <c:pt idx="233">
                  <c:v>43639</c:v>
                </c:pt>
                <c:pt idx="234">
                  <c:v>43646</c:v>
                </c:pt>
                <c:pt idx="235">
                  <c:v>43653</c:v>
                </c:pt>
                <c:pt idx="236">
                  <c:v>43660</c:v>
                </c:pt>
                <c:pt idx="237">
                  <c:v>43667</c:v>
                </c:pt>
                <c:pt idx="238">
                  <c:v>43674</c:v>
                </c:pt>
                <c:pt idx="239">
                  <c:v>43681</c:v>
                </c:pt>
                <c:pt idx="240">
                  <c:v>43688</c:v>
                </c:pt>
                <c:pt idx="241">
                  <c:v>43695</c:v>
                </c:pt>
                <c:pt idx="242">
                  <c:v>43702</c:v>
                </c:pt>
                <c:pt idx="243">
                  <c:v>43709</c:v>
                </c:pt>
                <c:pt idx="244">
                  <c:v>43716</c:v>
                </c:pt>
                <c:pt idx="245">
                  <c:v>43723</c:v>
                </c:pt>
                <c:pt idx="246">
                  <c:v>43730</c:v>
                </c:pt>
                <c:pt idx="247">
                  <c:v>43737</c:v>
                </c:pt>
                <c:pt idx="248">
                  <c:v>43744</c:v>
                </c:pt>
                <c:pt idx="249">
                  <c:v>43751</c:v>
                </c:pt>
                <c:pt idx="250">
                  <c:v>43758</c:v>
                </c:pt>
                <c:pt idx="251">
                  <c:v>43765</c:v>
                </c:pt>
                <c:pt idx="252">
                  <c:v>43772</c:v>
                </c:pt>
                <c:pt idx="253">
                  <c:v>43779</c:v>
                </c:pt>
                <c:pt idx="254">
                  <c:v>43786</c:v>
                </c:pt>
                <c:pt idx="255">
                  <c:v>43793</c:v>
                </c:pt>
                <c:pt idx="256">
                  <c:v>43800</c:v>
                </c:pt>
                <c:pt idx="257">
                  <c:v>43807</c:v>
                </c:pt>
                <c:pt idx="258">
                  <c:v>43814</c:v>
                </c:pt>
                <c:pt idx="259">
                  <c:v>43821</c:v>
                </c:pt>
                <c:pt idx="260">
                  <c:v>43828</c:v>
                </c:pt>
                <c:pt idx="261">
                  <c:v>43835</c:v>
                </c:pt>
                <c:pt idx="262">
                  <c:v>43842</c:v>
                </c:pt>
                <c:pt idx="263">
                  <c:v>43849</c:v>
                </c:pt>
                <c:pt idx="264">
                  <c:v>43856</c:v>
                </c:pt>
                <c:pt idx="265">
                  <c:v>43863</c:v>
                </c:pt>
                <c:pt idx="266">
                  <c:v>43870</c:v>
                </c:pt>
                <c:pt idx="267">
                  <c:v>43877</c:v>
                </c:pt>
                <c:pt idx="268">
                  <c:v>43884</c:v>
                </c:pt>
                <c:pt idx="269">
                  <c:v>43891</c:v>
                </c:pt>
                <c:pt idx="270">
                  <c:v>43898</c:v>
                </c:pt>
                <c:pt idx="271">
                  <c:v>43905</c:v>
                </c:pt>
                <c:pt idx="272">
                  <c:v>43912</c:v>
                </c:pt>
                <c:pt idx="273">
                  <c:v>43919</c:v>
                </c:pt>
              </c:numCache>
            </c:numRef>
          </c:cat>
          <c:val>
            <c:numRef>
              <c:f>'Listed&amp;Price'!$E$19:$E$292</c:f>
              <c:numCache>
                <c:formatCode>General</c:formatCode>
                <c:ptCount val="274"/>
                <c:pt idx="0">
                  <c:v>100</c:v>
                </c:pt>
                <c:pt idx="1">
                  <c:v>99.88</c:v>
                </c:pt>
                <c:pt idx="2">
                  <c:v>99.93</c:v>
                </c:pt>
                <c:pt idx="3">
                  <c:v>100.12</c:v>
                </c:pt>
                <c:pt idx="4">
                  <c:v>100.33</c:v>
                </c:pt>
                <c:pt idx="5">
                  <c:v>100.54</c:v>
                </c:pt>
                <c:pt idx="6">
                  <c:v>100.84</c:v>
                </c:pt>
                <c:pt idx="7">
                  <c:v>101.43</c:v>
                </c:pt>
                <c:pt idx="8">
                  <c:v>100.6</c:v>
                </c:pt>
                <c:pt idx="9">
                  <c:v>100.86</c:v>
                </c:pt>
                <c:pt idx="10">
                  <c:v>101.13</c:v>
                </c:pt>
                <c:pt idx="11">
                  <c:v>101.22</c:v>
                </c:pt>
                <c:pt idx="12">
                  <c:v>101.19</c:v>
                </c:pt>
                <c:pt idx="13">
                  <c:v>102.05</c:v>
                </c:pt>
                <c:pt idx="14">
                  <c:v>102.35</c:v>
                </c:pt>
                <c:pt idx="15">
                  <c:v>102.49</c:v>
                </c:pt>
                <c:pt idx="16">
                  <c:v>102.91</c:v>
                </c:pt>
                <c:pt idx="17">
                  <c:v>103.35</c:v>
                </c:pt>
                <c:pt idx="18">
                  <c:v>103.78</c:v>
                </c:pt>
                <c:pt idx="19">
                  <c:v>104.17</c:v>
                </c:pt>
                <c:pt idx="20">
                  <c:v>104.49</c:v>
                </c:pt>
                <c:pt idx="21">
                  <c:v>105.03</c:v>
                </c:pt>
                <c:pt idx="22">
                  <c:v>105.5</c:v>
                </c:pt>
                <c:pt idx="23">
                  <c:v>106.2</c:v>
                </c:pt>
                <c:pt idx="24">
                  <c:v>106.84</c:v>
                </c:pt>
                <c:pt idx="25">
                  <c:v>107.39</c:v>
                </c:pt>
                <c:pt idx="26">
                  <c:v>108.19</c:v>
                </c:pt>
                <c:pt idx="27">
                  <c:v>108.58</c:v>
                </c:pt>
                <c:pt idx="28">
                  <c:v>108.87</c:v>
                </c:pt>
                <c:pt idx="29">
                  <c:v>108.89</c:v>
                </c:pt>
                <c:pt idx="30">
                  <c:v>109.06</c:v>
                </c:pt>
                <c:pt idx="31">
                  <c:v>109.7</c:v>
                </c:pt>
                <c:pt idx="32">
                  <c:v>110.07</c:v>
                </c:pt>
                <c:pt idx="33">
                  <c:v>110.23</c:v>
                </c:pt>
                <c:pt idx="34">
                  <c:v>110.44</c:v>
                </c:pt>
                <c:pt idx="35">
                  <c:v>110.76</c:v>
                </c:pt>
                <c:pt idx="36">
                  <c:v>110.98</c:v>
                </c:pt>
                <c:pt idx="37">
                  <c:v>111.09</c:v>
                </c:pt>
                <c:pt idx="38">
                  <c:v>111.26</c:v>
                </c:pt>
                <c:pt idx="39">
                  <c:v>111.71</c:v>
                </c:pt>
                <c:pt idx="40">
                  <c:v>112.22</c:v>
                </c:pt>
                <c:pt idx="41">
                  <c:v>112.37</c:v>
                </c:pt>
                <c:pt idx="42">
                  <c:v>112.58</c:v>
                </c:pt>
                <c:pt idx="43">
                  <c:v>112.66</c:v>
                </c:pt>
                <c:pt idx="44">
                  <c:v>113.24</c:v>
                </c:pt>
                <c:pt idx="45">
                  <c:v>113.55</c:v>
                </c:pt>
                <c:pt idx="46">
                  <c:v>114.15</c:v>
                </c:pt>
                <c:pt idx="47">
                  <c:v>114.04</c:v>
                </c:pt>
                <c:pt idx="48">
                  <c:v>115.14</c:v>
                </c:pt>
                <c:pt idx="49">
                  <c:v>115.73</c:v>
                </c:pt>
                <c:pt idx="50">
                  <c:v>115.84</c:v>
                </c:pt>
                <c:pt idx="51">
                  <c:v>116.48</c:v>
                </c:pt>
                <c:pt idx="52">
                  <c:v>117.17</c:v>
                </c:pt>
                <c:pt idx="53">
                  <c:v>117.67</c:v>
                </c:pt>
                <c:pt idx="54">
                  <c:v>117.92</c:v>
                </c:pt>
                <c:pt idx="55">
                  <c:v>118.15</c:v>
                </c:pt>
                <c:pt idx="56">
                  <c:v>118.15</c:v>
                </c:pt>
                <c:pt idx="57">
                  <c:v>118.49</c:v>
                </c:pt>
                <c:pt idx="58">
                  <c:v>117.76</c:v>
                </c:pt>
                <c:pt idx="59">
                  <c:v>119.97</c:v>
                </c:pt>
                <c:pt idx="60">
                  <c:v>121.09</c:v>
                </c:pt>
                <c:pt idx="61">
                  <c:v>123.98</c:v>
                </c:pt>
                <c:pt idx="62">
                  <c:v>125.13</c:v>
                </c:pt>
                <c:pt idx="63">
                  <c:v>126.41</c:v>
                </c:pt>
                <c:pt idx="64">
                  <c:v>127.07</c:v>
                </c:pt>
                <c:pt idx="65">
                  <c:v>129.13</c:v>
                </c:pt>
                <c:pt idx="66">
                  <c:v>129.83000000000001</c:v>
                </c:pt>
                <c:pt idx="67">
                  <c:v>128.44999999999999</c:v>
                </c:pt>
                <c:pt idx="68">
                  <c:v>130.81</c:v>
                </c:pt>
                <c:pt idx="69">
                  <c:v>131.80000000000001</c:v>
                </c:pt>
                <c:pt idx="70">
                  <c:v>132.68</c:v>
                </c:pt>
                <c:pt idx="71">
                  <c:v>132.38999999999999</c:v>
                </c:pt>
                <c:pt idx="72">
                  <c:v>132.54</c:v>
                </c:pt>
                <c:pt idx="73">
                  <c:v>133.88999999999999</c:v>
                </c:pt>
                <c:pt idx="74">
                  <c:v>135.61000000000001</c:v>
                </c:pt>
                <c:pt idx="75">
                  <c:v>136.44</c:v>
                </c:pt>
                <c:pt idx="76">
                  <c:v>136.57</c:v>
                </c:pt>
                <c:pt idx="77">
                  <c:v>137</c:v>
                </c:pt>
                <c:pt idx="78">
                  <c:v>138.01</c:v>
                </c:pt>
                <c:pt idx="79">
                  <c:v>138.53</c:v>
                </c:pt>
                <c:pt idx="80">
                  <c:v>138.69</c:v>
                </c:pt>
                <c:pt idx="81">
                  <c:v>139.36000000000001</c:v>
                </c:pt>
                <c:pt idx="82">
                  <c:v>140.6</c:v>
                </c:pt>
                <c:pt idx="83">
                  <c:v>143.84</c:v>
                </c:pt>
                <c:pt idx="84">
                  <c:v>143.22999999999999</c:v>
                </c:pt>
                <c:pt idx="85">
                  <c:v>143.22999999999999</c:v>
                </c:pt>
                <c:pt idx="86">
                  <c:v>144.22</c:v>
                </c:pt>
                <c:pt idx="87">
                  <c:v>146.44</c:v>
                </c:pt>
                <c:pt idx="88">
                  <c:v>145.77000000000001</c:v>
                </c:pt>
                <c:pt idx="89">
                  <c:v>147.22999999999999</c:v>
                </c:pt>
                <c:pt idx="90">
                  <c:v>147.29</c:v>
                </c:pt>
                <c:pt idx="91">
                  <c:v>149.76</c:v>
                </c:pt>
                <c:pt idx="92">
                  <c:v>151.29</c:v>
                </c:pt>
                <c:pt idx="93">
                  <c:v>150.19</c:v>
                </c:pt>
                <c:pt idx="94">
                  <c:v>153.02000000000001</c:v>
                </c:pt>
                <c:pt idx="95">
                  <c:v>153.65</c:v>
                </c:pt>
                <c:pt idx="96">
                  <c:v>159.08000000000001</c:v>
                </c:pt>
                <c:pt idx="97">
                  <c:v>158.94</c:v>
                </c:pt>
                <c:pt idx="98">
                  <c:v>158.65</c:v>
                </c:pt>
                <c:pt idx="99">
                  <c:v>158.69</c:v>
                </c:pt>
                <c:pt idx="100">
                  <c:v>162.13</c:v>
                </c:pt>
                <c:pt idx="101">
                  <c:v>162.88</c:v>
                </c:pt>
                <c:pt idx="102">
                  <c:v>162.55000000000001</c:v>
                </c:pt>
                <c:pt idx="103">
                  <c:v>163.16</c:v>
                </c:pt>
                <c:pt idx="104">
                  <c:v>163.63999999999999</c:v>
                </c:pt>
                <c:pt idx="105">
                  <c:v>163.68</c:v>
                </c:pt>
                <c:pt idx="106">
                  <c:v>163.82</c:v>
                </c:pt>
                <c:pt idx="107">
                  <c:v>163.57</c:v>
                </c:pt>
                <c:pt idx="108">
                  <c:v>163.15</c:v>
                </c:pt>
                <c:pt idx="109">
                  <c:v>168.46</c:v>
                </c:pt>
                <c:pt idx="110">
                  <c:v>165.8</c:v>
                </c:pt>
                <c:pt idx="111">
                  <c:v>168.52</c:v>
                </c:pt>
                <c:pt idx="112">
                  <c:v>168.59</c:v>
                </c:pt>
                <c:pt idx="113">
                  <c:v>170.71</c:v>
                </c:pt>
                <c:pt idx="114">
                  <c:v>170.48</c:v>
                </c:pt>
                <c:pt idx="115">
                  <c:v>170.69</c:v>
                </c:pt>
                <c:pt idx="116">
                  <c:v>170</c:v>
                </c:pt>
                <c:pt idx="117">
                  <c:v>171.26</c:v>
                </c:pt>
                <c:pt idx="118">
                  <c:v>172.39</c:v>
                </c:pt>
                <c:pt idx="119">
                  <c:v>172.36</c:v>
                </c:pt>
                <c:pt idx="120">
                  <c:v>174.45</c:v>
                </c:pt>
                <c:pt idx="121">
                  <c:v>174.72</c:v>
                </c:pt>
                <c:pt idx="122">
                  <c:v>177.77</c:v>
                </c:pt>
                <c:pt idx="123">
                  <c:v>178.25</c:v>
                </c:pt>
                <c:pt idx="124">
                  <c:v>179.83</c:v>
                </c:pt>
                <c:pt idx="125">
                  <c:v>180.63</c:v>
                </c:pt>
                <c:pt idx="126">
                  <c:v>181.78</c:v>
                </c:pt>
                <c:pt idx="127">
                  <c:v>182.64</c:v>
                </c:pt>
                <c:pt idx="128">
                  <c:v>182.88</c:v>
                </c:pt>
                <c:pt idx="129">
                  <c:v>184.23</c:v>
                </c:pt>
                <c:pt idx="130">
                  <c:v>186.11</c:v>
                </c:pt>
                <c:pt idx="131">
                  <c:v>186.5</c:v>
                </c:pt>
                <c:pt idx="132">
                  <c:v>186.44</c:v>
                </c:pt>
                <c:pt idx="133">
                  <c:v>186.81</c:v>
                </c:pt>
                <c:pt idx="134">
                  <c:v>187.03</c:v>
                </c:pt>
                <c:pt idx="135">
                  <c:v>187.98</c:v>
                </c:pt>
                <c:pt idx="136">
                  <c:v>188.04</c:v>
                </c:pt>
                <c:pt idx="137">
                  <c:v>187.89</c:v>
                </c:pt>
                <c:pt idx="138">
                  <c:v>188.01</c:v>
                </c:pt>
                <c:pt idx="139">
                  <c:v>187.99</c:v>
                </c:pt>
                <c:pt idx="140">
                  <c:v>188.58</c:v>
                </c:pt>
                <c:pt idx="141">
                  <c:v>188.62</c:v>
                </c:pt>
                <c:pt idx="142">
                  <c:v>188.02</c:v>
                </c:pt>
                <c:pt idx="143">
                  <c:v>188.55</c:v>
                </c:pt>
                <c:pt idx="144">
                  <c:v>190.78</c:v>
                </c:pt>
                <c:pt idx="145">
                  <c:v>188.72</c:v>
                </c:pt>
                <c:pt idx="146">
                  <c:v>188.55</c:v>
                </c:pt>
                <c:pt idx="147">
                  <c:v>188.58</c:v>
                </c:pt>
                <c:pt idx="148">
                  <c:v>189.65</c:v>
                </c:pt>
                <c:pt idx="149">
                  <c:v>190.01</c:v>
                </c:pt>
                <c:pt idx="150">
                  <c:v>189.53</c:v>
                </c:pt>
                <c:pt idx="151">
                  <c:v>189.34</c:v>
                </c:pt>
                <c:pt idx="152">
                  <c:v>189.33</c:v>
                </c:pt>
                <c:pt idx="153">
                  <c:v>189.38</c:v>
                </c:pt>
                <c:pt idx="154">
                  <c:v>188.88</c:v>
                </c:pt>
                <c:pt idx="155">
                  <c:v>188.73</c:v>
                </c:pt>
                <c:pt idx="156">
                  <c:v>188.53</c:v>
                </c:pt>
                <c:pt idx="157">
                  <c:v>189.94</c:v>
                </c:pt>
                <c:pt idx="158">
                  <c:v>188.86</c:v>
                </c:pt>
                <c:pt idx="159">
                  <c:v>188.61</c:v>
                </c:pt>
                <c:pt idx="160">
                  <c:v>189.25</c:v>
                </c:pt>
                <c:pt idx="161">
                  <c:v>190.12</c:v>
                </c:pt>
                <c:pt idx="162">
                  <c:v>188.66</c:v>
                </c:pt>
                <c:pt idx="163">
                  <c:v>189.47</c:v>
                </c:pt>
                <c:pt idx="164">
                  <c:v>188.58</c:v>
                </c:pt>
                <c:pt idx="165">
                  <c:v>191.58</c:v>
                </c:pt>
                <c:pt idx="166">
                  <c:v>192.32</c:v>
                </c:pt>
                <c:pt idx="167">
                  <c:v>192.1</c:v>
                </c:pt>
                <c:pt idx="168">
                  <c:v>191.74</c:v>
                </c:pt>
                <c:pt idx="169">
                  <c:v>190.84</c:v>
                </c:pt>
                <c:pt idx="170">
                  <c:v>191.25</c:v>
                </c:pt>
                <c:pt idx="171">
                  <c:v>191.09</c:v>
                </c:pt>
                <c:pt idx="172">
                  <c:v>190.36</c:v>
                </c:pt>
                <c:pt idx="173">
                  <c:v>192.76</c:v>
                </c:pt>
                <c:pt idx="174">
                  <c:v>193.13</c:v>
                </c:pt>
                <c:pt idx="175">
                  <c:v>192.13</c:v>
                </c:pt>
                <c:pt idx="176">
                  <c:v>193.33</c:v>
                </c:pt>
                <c:pt idx="177">
                  <c:v>192.24</c:v>
                </c:pt>
                <c:pt idx="178">
                  <c:v>192.86</c:v>
                </c:pt>
                <c:pt idx="179">
                  <c:v>194.99</c:v>
                </c:pt>
                <c:pt idx="180">
                  <c:v>196.42</c:v>
                </c:pt>
                <c:pt idx="181">
                  <c:v>195.21</c:v>
                </c:pt>
                <c:pt idx="182">
                  <c:v>196.98</c:v>
                </c:pt>
                <c:pt idx="183">
                  <c:v>198.2</c:v>
                </c:pt>
                <c:pt idx="184">
                  <c:v>197.7</c:v>
                </c:pt>
                <c:pt idx="185">
                  <c:v>198.89</c:v>
                </c:pt>
                <c:pt idx="186">
                  <c:v>197.09</c:v>
                </c:pt>
                <c:pt idx="187">
                  <c:v>198.38</c:v>
                </c:pt>
                <c:pt idx="188">
                  <c:v>201.33</c:v>
                </c:pt>
                <c:pt idx="189">
                  <c:v>200.6</c:v>
                </c:pt>
                <c:pt idx="190">
                  <c:v>199.82</c:v>
                </c:pt>
                <c:pt idx="191">
                  <c:v>200.48</c:v>
                </c:pt>
                <c:pt idx="192">
                  <c:v>200.37</c:v>
                </c:pt>
                <c:pt idx="193">
                  <c:v>203.16</c:v>
                </c:pt>
                <c:pt idx="194">
                  <c:v>205.59</c:v>
                </c:pt>
                <c:pt idx="195">
                  <c:v>202.44</c:v>
                </c:pt>
                <c:pt idx="196">
                  <c:v>203.23</c:v>
                </c:pt>
                <c:pt idx="197">
                  <c:v>202.32</c:v>
                </c:pt>
                <c:pt idx="198">
                  <c:v>202.18</c:v>
                </c:pt>
                <c:pt idx="199">
                  <c:v>204.71</c:v>
                </c:pt>
                <c:pt idx="200">
                  <c:v>203.49</c:v>
                </c:pt>
                <c:pt idx="201">
                  <c:v>202.65</c:v>
                </c:pt>
                <c:pt idx="202">
                  <c:v>203.58</c:v>
                </c:pt>
                <c:pt idx="203">
                  <c:v>200.45</c:v>
                </c:pt>
                <c:pt idx="204">
                  <c:v>199.32</c:v>
                </c:pt>
                <c:pt idx="205">
                  <c:v>199.99</c:v>
                </c:pt>
                <c:pt idx="206">
                  <c:v>196</c:v>
                </c:pt>
                <c:pt idx="207">
                  <c:v>195.53</c:v>
                </c:pt>
                <c:pt idx="208">
                  <c:v>196.05</c:v>
                </c:pt>
                <c:pt idx="209">
                  <c:v>191</c:v>
                </c:pt>
                <c:pt idx="210">
                  <c:v>190.18</c:v>
                </c:pt>
                <c:pt idx="211">
                  <c:v>189.56</c:v>
                </c:pt>
                <c:pt idx="212">
                  <c:v>189.84</c:v>
                </c:pt>
                <c:pt idx="213">
                  <c:v>187.14</c:v>
                </c:pt>
                <c:pt idx="214">
                  <c:v>187.93</c:v>
                </c:pt>
                <c:pt idx="215">
                  <c:v>190.06</c:v>
                </c:pt>
                <c:pt idx="216">
                  <c:v>189.54</c:v>
                </c:pt>
                <c:pt idx="217">
                  <c:v>189.95</c:v>
                </c:pt>
                <c:pt idx="218">
                  <c:v>190.12</c:v>
                </c:pt>
                <c:pt idx="219">
                  <c:v>190.45</c:v>
                </c:pt>
                <c:pt idx="220">
                  <c:v>190.59</c:v>
                </c:pt>
                <c:pt idx="221">
                  <c:v>190.25</c:v>
                </c:pt>
                <c:pt idx="222">
                  <c:v>190.96</c:v>
                </c:pt>
                <c:pt idx="223">
                  <c:v>190.71</c:v>
                </c:pt>
                <c:pt idx="224">
                  <c:v>189.9</c:v>
                </c:pt>
                <c:pt idx="225">
                  <c:v>189.76</c:v>
                </c:pt>
                <c:pt idx="226">
                  <c:v>189.99</c:v>
                </c:pt>
                <c:pt idx="227">
                  <c:v>189.55</c:v>
                </c:pt>
                <c:pt idx="228">
                  <c:v>194.1</c:v>
                </c:pt>
                <c:pt idx="229">
                  <c:v>194.89</c:v>
                </c:pt>
                <c:pt idx="230">
                  <c:v>194.87</c:v>
                </c:pt>
                <c:pt idx="231">
                  <c:v>194.74</c:v>
                </c:pt>
                <c:pt idx="232">
                  <c:v>194.83</c:v>
                </c:pt>
                <c:pt idx="233">
                  <c:v>194.97</c:v>
                </c:pt>
                <c:pt idx="234">
                  <c:v>195.21</c:v>
                </c:pt>
                <c:pt idx="235">
                  <c:v>195.79</c:v>
                </c:pt>
                <c:pt idx="236">
                  <c:v>195.82</c:v>
                </c:pt>
                <c:pt idx="237">
                  <c:v>195.94</c:v>
                </c:pt>
                <c:pt idx="238">
                  <c:v>195.15</c:v>
                </c:pt>
                <c:pt idx="239">
                  <c:v>195.35</c:v>
                </c:pt>
                <c:pt idx="240">
                  <c:v>194.65</c:v>
                </c:pt>
                <c:pt idx="241">
                  <c:v>195.09</c:v>
                </c:pt>
                <c:pt idx="242">
                  <c:v>195.24</c:v>
                </c:pt>
                <c:pt idx="243">
                  <c:v>195.29</c:v>
                </c:pt>
                <c:pt idx="244">
                  <c:v>198.2</c:v>
                </c:pt>
                <c:pt idx="245">
                  <c:v>195.8</c:v>
                </c:pt>
                <c:pt idx="246">
                  <c:v>195.87</c:v>
                </c:pt>
                <c:pt idx="247">
                  <c:v>195.81</c:v>
                </c:pt>
                <c:pt idx="248">
                  <c:v>195.2</c:v>
                </c:pt>
                <c:pt idx="249">
                  <c:v>195</c:v>
                </c:pt>
                <c:pt idx="250">
                  <c:v>194.81</c:v>
                </c:pt>
                <c:pt idx="251">
                  <c:v>195</c:v>
                </c:pt>
                <c:pt idx="252">
                  <c:v>195.05</c:v>
                </c:pt>
                <c:pt idx="253">
                  <c:v>195.15</c:v>
                </c:pt>
                <c:pt idx="254">
                  <c:v>194.69</c:v>
                </c:pt>
                <c:pt idx="255">
                  <c:v>194.24</c:v>
                </c:pt>
                <c:pt idx="256">
                  <c:v>194.25</c:v>
                </c:pt>
                <c:pt idx="257">
                  <c:v>195.63</c:v>
                </c:pt>
                <c:pt idx="258">
                  <c:v>195.55</c:v>
                </c:pt>
                <c:pt idx="259">
                  <c:v>195.47</c:v>
                </c:pt>
                <c:pt idx="260">
                  <c:v>195.4</c:v>
                </c:pt>
                <c:pt idx="261">
                  <c:v>195.57</c:v>
                </c:pt>
                <c:pt idx="262">
                  <c:v>195.68</c:v>
                </c:pt>
                <c:pt idx="263">
                  <c:v>195.6</c:v>
                </c:pt>
                <c:pt idx="264">
                  <c:v>195.53</c:v>
                </c:pt>
                <c:pt idx="265">
                  <c:v>195.12</c:v>
                </c:pt>
                <c:pt idx="266">
                  <c:v>195.01</c:v>
                </c:pt>
                <c:pt idx="267">
                  <c:v>195.41</c:v>
                </c:pt>
                <c:pt idx="268">
                  <c:v>195.85</c:v>
                </c:pt>
                <c:pt idx="269">
                  <c:v>195.85</c:v>
                </c:pt>
                <c:pt idx="270">
                  <c:v>195.94</c:v>
                </c:pt>
                <c:pt idx="271">
                  <c:v>196.08</c:v>
                </c:pt>
                <c:pt idx="272">
                  <c:v>196.27</c:v>
                </c:pt>
                <c:pt idx="273">
                  <c:v>196.36</c:v>
                </c:pt>
              </c:numCache>
            </c:numRef>
          </c:val>
          <c:smooth val="1"/>
          <c:extLst>
            <c:ext xmlns:c16="http://schemas.microsoft.com/office/drawing/2014/chart" uri="{C3380CC4-5D6E-409C-BE32-E72D297353CC}">
              <c16:uniqueId val="{00000001-7D87-4556-9CDF-223E6C66E656}"/>
            </c:ext>
          </c:extLst>
        </c:ser>
        <c:dLbls>
          <c:showLegendKey val="0"/>
          <c:showVal val="0"/>
          <c:showCatName val="0"/>
          <c:showSerName val="0"/>
          <c:showPercent val="0"/>
          <c:showBubbleSize val="0"/>
        </c:dLbls>
        <c:marker val="1"/>
        <c:smooth val="0"/>
        <c:axId val="-2022690752"/>
        <c:axId val="-2022696736"/>
      </c:lineChart>
      <c:dateAx>
        <c:axId val="-2022685312"/>
        <c:scaling>
          <c:orientation val="minMax"/>
        </c:scaling>
        <c:delete val="0"/>
        <c:axPos val="b"/>
        <c:numFmt formatCode="yyyy/mm"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97824"/>
        <c:crosses val="autoZero"/>
        <c:auto val="1"/>
        <c:lblOffset val="100"/>
        <c:baseTimeUnit val="days"/>
      </c:dateAx>
      <c:valAx>
        <c:axId val="-2022697824"/>
        <c:scaling>
          <c:orientation val="minMax"/>
        </c:scaling>
        <c:delete val="0"/>
        <c:axPos val="l"/>
        <c:numFmt formatCode="General" sourceLinked="1"/>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85312"/>
        <c:crosses val="autoZero"/>
        <c:crossBetween val="between"/>
      </c:valAx>
      <c:valAx>
        <c:axId val="-2022696736"/>
        <c:scaling>
          <c:orientation val="minMax"/>
        </c:scaling>
        <c:delete val="0"/>
        <c:axPos val="r"/>
        <c:numFmt formatCode="General" sourceLinked="1"/>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90752"/>
        <c:crosses val="max"/>
        <c:crossBetween val="between"/>
      </c:valAx>
      <c:dateAx>
        <c:axId val="-2022690752"/>
        <c:scaling>
          <c:orientation val="minMax"/>
        </c:scaling>
        <c:delete val="1"/>
        <c:axPos val="b"/>
        <c:numFmt formatCode="m/d/yyyy" sourceLinked="1"/>
        <c:majorTickMark val="out"/>
        <c:minorTickMark val="none"/>
        <c:tickLblPos val="nextTo"/>
        <c:crossAx val="-2022696736"/>
        <c:crosses val="autoZero"/>
        <c:auto val="1"/>
        <c:lblOffset val="100"/>
        <c:baseTimeUnit val="days"/>
      </c:dateAx>
      <c:spPr>
        <a:noFill/>
        <a:ln w="25400">
          <a:noFill/>
        </a:ln>
        <a:effectLst/>
      </c:spPr>
    </c:plotArea>
    <c:legend>
      <c:legendPos val="b"/>
      <c:layout>
        <c:manualLayout>
          <c:xMode val="edge"/>
          <c:yMode val="edge"/>
          <c:x val="0.23310176318050332"/>
          <c:y val="1.4793605344786448E-3"/>
          <c:w val="0.6819443065112355"/>
          <c:h val="0.18568641486659088"/>
        </c:manualLayout>
      </c:layout>
      <c:overlay val="0"/>
      <c:spPr>
        <a:noFill/>
        <a:ln w="25400">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legend>
    <c:plotVisOnly val="1"/>
    <c:dispBlanksAs val="gap"/>
    <c:showDLblsOverMax val="0"/>
  </c:chart>
  <c:spPr>
    <a:solidFill>
      <a:srgbClr val="FFFFFF"/>
    </a:solidFill>
    <a:ln w="25400" cap="flat" cmpd="sng" algn="ctr">
      <a:noFill/>
      <a:round/>
    </a:ln>
    <a:effectLst/>
  </c:spPr>
  <c:txPr>
    <a:bodyPr/>
    <a:lstStyle/>
    <a:p>
      <a:pPr>
        <a:defRPr sz="800" baseline="0">
          <a:solidFill>
            <a:schemeClr val="tx1"/>
          </a:solidFill>
          <a:latin typeface="Times New Roman" panose="02020603050405020304" pitchFamily="18" charset="0"/>
          <a:ea typeface="楷体" panose="02010609060101010101" pitchFamily="49" charset="-122"/>
          <a:cs typeface="华文细黑"/>
        </a:defRPr>
      </a:pPr>
      <a:endParaRPr lang="zh-C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651635887856362E-2"/>
          <c:y val="6.1865903125745643E-2"/>
          <c:w val="0.8998582834803307"/>
          <c:h val="0.82181088326526031"/>
        </c:manualLayout>
      </c:layout>
      <c:barChart>
        <c:barDir val="col"/>
        <c:grouping val="clustered"/>
        <c:varyColors val="0"/>
        <c:ser>
          <c:idx val="0"/>
          <c:order val="0"/>
          <c:tx>
            <c:strRef>
              <c:f>'Listed&amp;Price'!$F$18</c:f>
              <c:strCache>
                <c:ptCount val="1"/>
                <c:pt idx="0">
                  <c:v>2nd House Listed for-sale Amount Index</c:v>
                </c:pt>
              </c:strCache>
            </c:strRef>
          </c:tx>
          <c:spPr>
            <a:solidFill>
              <a:schemeClr val="bg1">
                <a:lumMod val="85000"/>
              </a:schemeClr>
            </a:solidFill>
            <a:ln>
              <a:solidFill>
                <a:schemeClr val="bg1">
                  <a:lumMod val="85000"/>
                </a:schemeClr>
              </a:solidFill>
            </a:ln>
            <a:effectLst/>
          </c:spPr>
          <c:invertIfNegative val="0"/>
          <c:cat>
            <c:numRef>
              <c:f>'Listed&amp;Price'!$A$19:$A$292</c:f>
              <c:numCache>
                <c:formatCode>m/d/yyyy</c:formatCode>
                <c:ptCount val="274"/>
                <c:pt idx="0">
                  <c:v>42008</c:v>
                </c:pt>
                <c:pt idx="1">
                  <c:v>42015</c:v>
                </c:pt>
                <c:pt idx="2">
                  <c:v>42022</c:v>
                </c:pt>
                <c:pt idx="3">
                  <c:v>42029</c:v>
                </c:pt>
                <c:pt idx="4">
                  <c:v>42036</c:v>
                </c:pt>
                <c:pt idx="5">
                  <c:v>42043</c:v>
                </c:pt>
                <c:pt idx="6">
                  <c:v>42050</c:v>
                </c:pt>
                <c:pt idx="7">
                  <c:v>42057</c:v>
                </c:pt>
                <c:pt idx="8">
                  <c:v>42064</c:v>
                </c:pt>
                <c:pt idx="9">
                  <c:v>42071</c:v>
                </c:pt>
                <c:pt idx="10">
                  <c:v>42078</c:v>
                </c:pt>
                <c:pt idx="11">
                  <c:v>42085</c:v>
                </c:pt>
                <c:pt idx="12">
                  <c:v>42092</c:v>
                </c:pt>
                <c:pt idx="13">
                  <c:v>42099</c:v>
                </c:pt>
                <c:pt idx="14">
                  <c:v>42106</c:v>
                </c:pt>
                <c:pt idx="15">
                  <c:v>42113</c:v>
                </c:pt>
                <c:pt idx="16">
                  <c:v>42120</c:v>
                </c:pt>
                <c:pt idx="17">
                  <c:v>42127</c:v>
                </c:pt>
                <c:pt idx="18">
                  <c:v>42134</c:v>
                </c:pt>
                <c:pt idx="19">
                  <c:v>42141</c:v>
                </c:pt>
                <c:pt idx="20">
                  <c:v>42148</c:v>
                </c:pt>
                <c:pt idx="21">
                  <c:v>42155</c:v>
                </c:pt>
                <c:pt idx="22">
                  <c:v>42162</c:v>
                </c:pt>
                <c:pt idx="23">
                  <c:v>42169</c:v>
                </c:pt>
                <c:pt idx="24">
                  <c:v>42176</c:v>
                </c:pt>
                <c:pt idx="25">
                  <c:v>42183</c:v>
                </c:pt>
                <c:pt idx="26">
                  <c:v>42190</c:v>
                </c:pt>
                <c:pt idx="27">
                  <c:v>42197</c:v>
                </c:pt>
                <c:pt idx="28">
                  <c:v>42204</c:v>
                </c:pt>
                <c:pt idx="29">
                  <c:v>42211</c:v>
                </c:pt>
                <c:pt idx="30">
                  <c:v>42218</c:v>
                </c:pt>
                <c:pt idx="31">
                  <c:v>42225</c:v>
                </c:pt>
                <c:pt idx="32">
                  <c:v>42232</c:v>
                </c:pt>
                <c:pt idx="33">
                  <c:v>42239</c:v>
                </c:pt>
                <c:pt idx="34">
                  <c:v>42246</c:v>
                </c:pt>
                <c:pt idx="35">
                  <c:v>42253</c:v>
                </c:pt>
                <c:pt idx="36">
                  <c:v>42260</c:v>
                </c:pt>
                <c:pt idx="37">
                  <c:v>42267</c:v>
                </c:pt>
                <c:pt idx="38">
                  <c:v>42274</c:v>
                </c:pt>
                <c:pt idx="39">
                  <c:v>42281</c:v>
                </c:pt>
                <c:pt idx="40">
                  <c:v>42288</c:v>
                </c:pt>
                <c:pt idx="41">
                  <c:v>42295</c:v>
                </c:pt>
                <c:pt idx="42">
                  <c:v>42302</c:v>
                </c:pt>
                <c:pt idx="43">
                  <c:v>42309</c:v>
                </c:pt>
                <c:pt idx="44">
                  <c:v>42316</c:v>
                </c:pt>
                <c:pt idx="45">
                  <c:v>42323</c:v>
                </c:pt>
                <c:pt idx="46">
                  <c:v>42330</c:v>
                </c:pt>
                <c:pt idx="47">
                  <c:v>42337</c:v>
                </c:pt>
                <c:pt idx="48">
                  <c:v>42344</c:v>
                </c:pt>
                <c:pt idx="49">
                  <c:v>42351</c:v>
                </c:pt>
                <c:pt idx="50">
                  <c:v>42358</c:v>
                </c:pt>
                <c:pt idx="51">
                  <c:v>42365</c:v>
                </c:pt>
                <c:pt idx="52">
                  <c:v>42372</c:v>
                </c:pt>
                <c:pt idx="53">
                  <c:v>42379</c:v>
                </c:pt>
                <c:pt idx="54">
                  <c:v>42386</c:v>
                </c:pt>
                <c:pt idx="55">
                  <c:v>42393</c:v>
                </c:pt>
                <c:pt idx="56">
                  <c:v>42400</c:v>
                </c:pt>
                <c:pt idx="57">
                  <c:v>42407</c:v>
                </c:pt>
                <c:pt idx="58">
                  <c:v>42414</c:v>
                </c:pt>
                <c:pt idx="59">
                  <c:v>42421</c:v>
                </c:pt>
                <c:pt idx="60">
                  <c:v>42428</c:v>
                </c:pt>
                <c:pt idx="61">
                  <c:v>42435</c:v>
                </c:pt>
                <c:pt idx="62">
                  <c:v>42442</c:v>
                </c:pt>
                <c:pt idx="63">
                  <c:v>42449</c:v>
                </c:pt>
                <c:pt idx="64">
                  <c:v>42456</c:v>
                </c:pt>
                <c:pt idx="65">
                  <c:v>42463</c:v>
                </c:pt>
                <c:pt idx="66">
                  <c:v>42470</c:v>
                </c:pt>
                <c:pt idx="67">
                  <c:v>42477</c:v>
                </c:pt>
                <c:pt idx="68">
                  <c:v>42484</c:v>
                </c:pt>
                <c:pt idx="69">
                  <c:v>42491</c:v>
                </c:pt>
                <c:pt idx="70">
                  <c:v>42498</c:v>
                </c:pt>
                <c:pt idx="71">
                  <c:v>42505</c:v>
                </c:pt>
                <c:pt idx="72">
                  <c:v>42512</c:v>
                </c:pt>
                <c:pt idx="73">
                  <c:v>42519</c:v>
                </c:pt>
                <c:pt idx="74">
                  <c:v>42526</c:v>
                </c:pt>
                <c:pt idx="75">
                  <c:v>42533</c:v>
                </c:pt>
                <c:pt idx="76">
                  <c:v>42540</c:v>
                </c:pt>
                <c:pt idx="77">
                  <c:v>42547</c:v>
                </c:pt>
                <c:pt idx="78">
                  <c:v>42554</c:v>
                </c:pt>
                <c:pt idx="79">
                  <c:v>42561</c:v>
                </c:pt>
                <c:pt idx="80">
                  <c:v>42568</c:v>
                </c:pt>
                <c:pt idx="81">
                  <c:v>42575</c:v>
                </c:pt>
                <c:pt idx="82">
                  <c:v>42582</c:v>
                </c:pt>
                <c:pt idx="83">
                  <c:v>42589</c:v>
                </c:pt>
                <c:pt idx="84">
                  <c:v>42596</c:v>
                </c:pt>
                <c:pt idx="85">
                  <c:v>42603</c:v>
                </c:pt>
                <c:pt idx="86">
                  <c:v>42610</c:v>
                </c:pt>
                <c:pt idx="87">
                  <c:v>42617</c:v>
                </c:pt>
                <c:pt idx="88">
                  <c:v>42624</c:v>
                </c:pt>
                <c:pt idx="89">
                  <c:v>42631</c:v>
                </c:pt>
                <c:pt idx="90">
                  <c:v>42638</c:v>
                </c:pt>
                <c:pt idx="91">
                  <c:v>42645</c:v>
                </c:pt>
                <c:pt idx="92">
                  <c:v>42652</c:v>
                </c:pt>
                <c:pt idx="93">
                  <c:v>42659</c:v>
                </c:pt>
                <c:pt idx="94">
                  <c:v>42666</c:v>
                </c:pt>
                <c:pt idx="95">
                  <c:v>42673</c:v>
                </c:pt>
                <c:pt idx="96">
                  <c:v>42680</c:v>
                </c:pt>
                <c:pt idx="97">
                  <c:v>42687</c:v>
                </c:pt>
                <c:pt idx="98">
                  <c:v>42694</c:v>
                </c:pt>
                <c:pt idx="99">
                  <c:v>42701</c:v>
                </c:pt>
                <c:pt idx="100">
                  <c:v>42708</c:v>
                </c:pt>
                <c:pt idx="101">
                  <c:v>42715</c:v>
                </c:pt>
                <c:pt idx="102">
                  <c:v>42722</c:v>
                </c:pt>
                <c:pt idx="103">
                  <c:v>42729</c:v>
                </c:pt>
                <c:pt idx="104">
                  <c:v>42736</c:v>
                </c:pt>
                <c:pt idx="105">
                  <c:v>42743</c:v>
                </c:pt>
                <c:pt idx="106">
                  <c:v>42750</c:v>
                </c:pt>
                <c:pt idx="107">
                  <c:v>42757</c:v>
                </c:pt>
                <c:pt idx="108">
                  <c:v>42764</c:v>
                </c:pt>
                <c:pt idx="109">
                  <c:v>42771</c:v>
                </c:pt>
                <c:pt idx="110">
                  <c:v>42778</c:v>
                </c:pt>
                <c:pt idx="111">
                  <c:v>42785</c:v>
                </c:pt>
                <c:pt idx="112">
                  <c:v>42792</c:v>
                </c:pt>
                <c:pt idx="113">
                  <c:v>42799</c:v>
                </c:pt>
                <c:pt idx="114">
                  <c:v>42806</c:v>
                </c:pt>
                <c:pt idx="115">
                  <c:v>42813</c:v>
                </c:pt>
                <c:pt idx="116">
                  <c:v>42820</c:v>
                </c:pt>
                <c:pt idx="117">
                  <c:v>42827</c:v>
                </c:pt>
                <c:pt idx="118">
                  <c:v>42834</c:v>
                </c:pt>
                <c:pt idx="119">
                  <c:v>42841</c:v>
                </c:pt>
                <c:pt idx="120">
                  <c:v>42848</c:v>
                </c:pt>
                <c:pt idx="121">
                  <c:v>42855</c:v>
                </c:pt>
                <c:pt idx="122">
                  <c:v>42862</c:v>
                </c:pt>
                <c:pt idx="123">
                  <c:v>42869</c:v>
                </c:pt>
                <c:pt idx="124">
                  <c:v>42876</c:v>
                </c:pt>
                <c:pt idx="125">
                  <c:v>42883</c:v>
                </c:pt>
                <c:pt idx="126">
                  <c:v>42890</c:v>
                </c:pt>
                <c:pt idx="127">
                  <c:v>42897</c:v>
                </c:pt>
                <c:pt idx="128">
                  <c:v>42904</c:v>
                </c:pt>
                <c:pt idx="129">
                  <c:v>42911</c:v>
                </c:pt>
                <c:pt idx="130">
                  <c:v>42918</c:v>
                </c:pt>
                <c:pt idx="131">
                  <c:v>42925</c:v>
                </c:pt>
                <c:pt idx="132">
                  <c:v>42932</c:v>
                </c:pt>
                <c:pt idx="133">
                  <c:v>42939</c:v>
                </c:pt>
                <c:pt idx="134">
                  <c:v>42946</c:v>
                </c:pt>
                <c:pt idx="135">
                  <c:v>42953</c:v>
                </c:pt>
                <c:pt idx="136">
                  <c:v>42960</c:v>
                </c:pt>
                <c:pt idx="137">
                  <c:v>42967</c:v>
                </c:pt>
                <c:pt idx="138">
                  <c:v>42974</c:v>
                </c:pt>
                <c:pt idx="139">
                  <c:v>42981</c:v>
                </c:pt>
                <c:pt idx="140">
                  <c:v>42988</c:v>
                </c:pt>
                <c:pt idx="141">
                  <c:v>42995</c:v>
                </c:pt>
                <c:pt idx="142">
                  <c:v>43002</c:v>
                </c:pt>
                <c:pt idx="143">
                  <c:v>43009</c:v>
                </c:pt>
                <c:pt idx="144">
                  <c:v>43016</c:v>
                </c:pt>
                <c:pt idx="145">
                  <c:v>43023</c:v>
                </c:pt>
                <c:pt idx="146">
                  <c:v>43030</c:v>
                </c:pt>
                <c:pt idx="147">
                  <c:v>43037</c:v>
                </c:pt>
                <c:pt idx="148">
                  <c:v>43044</c:v>
                </c:pt>
                <c:pt idx="149">
                  <c:v>43051</c:v>
                </c:pt>
                <c:pt idx="150">
                  <c:v>43058</c:v>
                </c:pt>
                <c:pt idx="151">
                  <c:v>43065</c:v>
                </c:pt>
                <c:pt idx="152">
                  <c:v>43072</c:v>
                </c:pt>
                <c:pt idx="153">
                  <c:v>43079</c:v>
                </c:pt>
                <c:pt idx="154">
                  <c:v>43086</c:v>
                </c:pt>
                <c:pt idx="155">
                  <c:v>43093</c:v>
                </c:pt>
                <c:pt idx="156">
                  <c:v>43100</c:v>
                </c:pt>
                <c:pt idx="157">
                  <c:v>43107</c:v>
                </c:pt>
                <c:pt idx="158">
                  <c:v>43114</c:v>
                </c:pt>
                <c:pt idx="159">
                  <c:v>43121</c:v>
                </c:pt>
                <c:pt idx="160">
                  <c:v>43128</c:v>
                </c:pt>
                <c:pt idx="161">
                  <c:v>43135</c:v>
                </c:pt>
                <c:pt idx="162">
                  <c:v>43142</c:v>
                </c:pt>
                <c:pt idx="163">
                  <c:v>43149</c:v>
                </c:pt>
                <c:pt idx="164">
                  <c:v>43156</c:v>
                </c:pt>
                <c:pt idx="165">
                  <c:v>43163</c:v>
                </c:pt>
                <c:pt idx="166">
                  <c:v>43170</c:v>
                </c:pt>
                <c:pt idx="167">
                  <c:v>43177</c:v>
                </c:pt>
                <c:pt idx="168">
                  <c:v>43184</c:v>
                </c:pt>
                <c:pt idx="169">
                  <c:v>43191</c:v>
                </c:pt>
                <c:pt idx="170">
                  <c:v>43198</c:v>
                </c:pt>
                <c:pt idx="171">
                  <c:v>43205</c:v>
                </c:pt>
                <c:pt idx="172">
                  <c:v>43212</c:v>
                </c:pt>
                <c:pt idx="173">
                  <c:v>43219</c:v>
                </c:pt>
                <c:pt idx="174">
                  <c:v>43226</c:v>
                </c:pt>
                <c:pt idx="175">
                  <c:v>43233</c:v>
                </c:pt>
                <c:pt idx="176">
                  <c:v>43240</c:v>
                </c:pt>
                <c:pt idx="177">
                  <c:v>43247</c:v>
                </c:pt>
                <c:pt idx="178">
                  <c:v>43254</c:v>
                </c:pt>
                <c:pt idx="179">
                  <c:v>43261</c:v>
                </c:pt>
                <c:pt idx="180">
                  <c:v>43268</c:v>
                </c:pt>
                <c:pt idx="181">
                  <c:v>43275</c:v>
                </c:pt>
                <c:pt idx="182">
                  <c:v>43282</c:v>
                </c:pt>
                <c:pt idx="183">
                  <c:v>43289</c:v>
                </c:pt>
                <c:pt idx="184">
                  <c:v>43296</c:v>
                </c:pt>
                <c:pt idx="185">
                  <c:v>43303</c:v>
                </c:pt>
                <c:pt idx="186">
                  <c:v>43310</c:v>
                </c:pt>
                <c:pt idx="187">
                  <c:v>43317</c:v>
                </c:pt>
                <c:pt idx="188">
                  <c:v>43324</c:v>
                </c:pt>
                <c:pt idx="189">
                  <c:v>43331</c:v>
                </c:pt>
                <c:pt idx="190">
                  <c:v>43338</c:v>
                </c:pt>
                <c:pt idx="191">
                  <c:v>43345</c:v>
                </c:pt>
                <c:pt idx="192">
                  <c:v>43352</c:v>
                </c:pt>
                <c:pt idx="193">
                  <c:v>43359</c:v>
                </c:pt>
                <c:pt idx="194">
                  <c:v>43366</c:v>
                </c:pt>
                <c:pt idx="195">
                  <c:v>43373</c:v>
                </c:pt>
                <c:pt idx="196">
                  <c:v>43380</c:v>
                </c:pt>
                <c:pt idx="197">
                  <c:v>43387</c:v>
                </c:pt>
                <c:pt idx="198">
                  <c:v>43394</c:v>
                </c:pt>
                <c:pt idx="199">
                  <c:v>43401</c:v>
                </c:pt>
                <c:pt idx="200">
                  <c:v>43408</c:v>
                </c:pt>
                <c:pt idx="201">
                  <c:v>43415</c:v>
                </c:pt>
                <c:pt idx="202">
                  <c:v>43422</c:v>
                </c:pt>
                <c:pt idx="203">
                  <c:v>43429</c:v>
                </c:pt>
                <c:pt idx="204">
                  <c:v>43436</c:v>
                </c:pt>
                <c:pt idx="205">
                  <c:v>43443</c:v>
                </c:pt>
                <c:pt idx="206">
                  <c:v>43450</c:v>
                </c:pt>
                <c:pt idx="207">
                  <c:v>43457</c:v>
                </c:pt>
                <c:pt idx="208">
                  <c:v>43464</c:v>
                </c:pt>
                <c:pt idx="209">
                  <c:v>43471</c:v>
                </c:pt>
                <c:pt idx="210">
                  <c:v>43478</c:v>
                </c:pt>
                <c:pt idx="211">
                  <c:v>43485</c:v>
                </c:pt>
                <c:pt idx="212">
                  <c:v>43492</c:v>
                </c:pt>
                <c:pt idx="213">
                  <c:v>43499</c:v>
                </c:pt>
                <c:pt idx="214">
                  <c:v>43506</c:v>
                </c:pt>
                <c:pt idx="215">
                  <c:v>43513</c:v>
                </c:pt>
                <c:pt idx="216">
                  <c:v>43520</c:v>
                </c:pt>
                <c:pt idx="217">
                  <c:v>43527</c:v>
                </c:pt>
                <c:pt idx="218">
                  <c:v>43534</c:v>
                </c:pt>
                <c:pt idx="219">
                  <c:v>43541</c:v>
                </c:pt>
                <c:pt idx="220">
                  <c:v>43548</c:v>
                </c:pt>
                <c:pt idx="221">
                  <c:v>43555</c:v>
                </c:pt>
                <c:pt idx="222">
                  <c:v>43562</c:v>
                </c:pt>
                <c:pt idx="223">
                  <c:v>43569</c:v>
                </c:pt>
                <c:pt idx="224">
                  <c:v>43576</c:v>
                </c:pt>
                <c:pt idx="225">
                  <c:v>43583</c:v>
                </c:pt>
                <c:pt idx="226">
                  <c:v>43590</c:v>
                </c:pt>
                <c:pt idx="227">
                  <c:v>43597</c:v>
                </c:pt>
                <c:pt idx="228">
                  <c:v>43604</c:v>
                </c:pt>
                <c:pt idx="229">
                  <c:v>43611</c:v>
                </c:pt>
                <c:pt idx="230">
                  <c:v>43618</c:v>
                </c:pt>
                <c:pt idx="231">
                  <c:v>43625</c:v>
                </c:pt>
                <c:pt idx="232">
                  <c:v>43632</c:v>
                </c:pt>
                <c:pt idx="233">
                  <c:v>43639</c:v>
                </c:pt>
                <c:pt idx="234">
                  <c:v>43646</c:v>
                </c:pt>
                <c:pt idx="235">
                  <c:v>43653</c:v>
                </c:pt>
                <c:pt idx="236">
                  <c:v>43660</c:v>
                </c:pt>
                <c:pt idx="237">
                  <c:v>43667</c:v>
                </c:pt>
                <c:pt idx="238">
                  <c:v>43674</c:v>
                </c:pt>
                <c:pt idx="239">
                  <c:v>43681</c:v>
                </c:pt>
                <c:pt idx="240">
                  <c:v>43688</c:v>
                </c:pt>
                <c:pt idx="241">
                  <c:v>43695</c:v>
                </c:pt>
                <c:pt idx="242">
                  <c:v>43702</c:v>
                </c:pt>
                <c:pt idx="243">
                  <c:v>43709</c:v>
                </c:pt>
                <c:pt idx="244">
                  <c:v>43716</c:v>
                </c:pt>
                <c:pt idx="245">
                  <c:v>43723</c:v>
                </c:pt>
                <c:pt idx="246">
                  <c:v>43730</c:v>
                </c:pt>
                <c:pt idx="247">
                  <c:v>43737</c:v>
                </c:pt>
                <c:pt idx="248">
                  <c:v>43744</c:v>
                </c:pt>
                <c:pt idx="249">
                  <c:v>43751</c:v>
                </c:pt>
                <c:pt idx="250">
                  <c:v>43758</c:v>
                </c:pt>
                <c:pt idx="251">
                  <c:v>43765</c:v>
                </c:pt>
                <c:pt idx="252">
                  <c:v>43772</c:v>
                </c:pt>
                <c:pt idx="253">
                  <c:v>43779</c:v>
                </c:pt>
                <c:pt idx="254">
                  <c:v>43786</c:v>
                </c:pt>
                <c:pt idx="255">
                  <c:v>43793</c:v>
                </c:pt>
                <c:pt idx="256">
                  <c:v>43800</c:v>
                </c:pt>
                <c:pt idx="257">
                  <c:v>43807</c:v>
                </c:pt>
                <c:pt idx="258">
                  <c:v>43814</c:v>
                </c:pt>
                <c:pt idx="259">
                  <c:v>43821</c:v>
                </c:pt>
                <c:pt idx="260">
                  <c:v>43828</c:v>
                </c:pt>
                <c:pt idx="261">
                  <c:v>43835</c:v>
                </c:pt>
                <c:pt idx="262">
                  <c:v>43842</c:v>
                </c:pt>
                <c:pt idx="263">
                  <c:v>43849</c:v>
                </c:pt>
                <c:pt idx="264">
                  <c:v>43856</c:v>
                </c:pt>
                <c:pt idx="265">
                  <c:v>43863</c:v>
                </c:pt>
                <c:pt idx="266">
                  <c:v>43870</c:v>
                </c:pt>
                <c:pt idx="267">
                  <c:v>43877</c:v>
                </c:pt>
                <c:pt idx="268">
                  <c:v>43884</c:v>
                </c:pt>
                <c:pt idx="269">
                  <c:v>43891</c:v>
                </c:pt>
                <c:pt idx="270">
                  <c:v>43898</c:v>
                </c:pt>
                <c:pt idx="271">
                  <c:v>43905</c:v>
                </c:pt>
                <c:pt idx="272">
                  <c:v>43912</c:v>
                </c:pt>
                <c:pt idx="273">
                  <c:v>43919</c:v>
                </c:pt>
              </c:numCache>
            </c:numRef>
          </c:cat>
          <c:val>
            <c:numRef>
              <c:f>'Listed&amp;Price'!$F$19:$F$292</c:f>
              <c:numCache>
                <c:formatCode>General</c:formatCode>
                <c:ptCount val="274"/>
                <c:pt idx="0">
                  <c:v>100</c:v>
                </c:pt>
                <c:pt idx="1">
                  <c:v>69.150000000000006</c:v>
                </c:pt>
                <c:pt idx="2">
                  <c:v>68.77</c:v>
                </c:pt>
                <c:pt idx="3">
                  <c:v>65.959999999999994</c:v>
                </c:pt>
                <c:pt idx="4">
                  <c:v>63.22</c:v>
                </c:pt>
                <c:pt idx="5">
                  <c:v>56.92</c:v>
                </c:pt>
                <c:pt idx="6">
                  <c:v>44.33</c:v>
                </c:pt>
                <c:pt idx="7">
                  <c:v>12.3</c:v>
                </c:pt>
                <c:pt idx="8">
                  <c:v>52.09</c:v>
                </c:pt>
                <c:pt idx="9">
                  <c:v>65.09</c:v>
                </c:pt>
                <c:pt idx="10">
                  <c:v>66.45</c:v>
                </c:pt>
                <c:pt idx="11">
                  <c:v>78.53</c:v>
                </c:pt>
                <c:pt idx="12">
                  <c:v>74.75</c:v>
                </c:pt>
                <c:pt idx="13">
                  <c:v>83.85</c:v>
                </c:pt>
                <c:pt idx="14">
                  <c:v>86.11</c:v>
                </c:pt>
                <c:pt idx="15">
                  <c:v>115.77</c:v>
                </c:pt>
                <c:pt idx="16">
                  <c:v>101.27</c:v>
                </c:pt>
                <c:pt idx="17">
                  <c:v>116.26</c:v>
                </c:pt>
                <c:pt idx="18">
                  <c:v>99.58</c:v>
                </c:pt>
                <c:pt idx="19">
                  <c:v>91.29</c:v>
                </c:pt>
                <c:pt idx="20">
                  <c:v>96.28</c:v>
                </c:pt>
                <c:pt idx="21">
                  <c:v>85.51</c:v>
                </c:pt>
                <c:pt idx="22">
                  <c:v>108.89</c:v>
                </c:pt>
                <c:pt idx="23">
                  <c:v>104.14</c:v>
                </c:pt>
                <c:pt idx="24">
                  <c:v>96.16</c:v>
                </c:pt>
                <c:pt idx="25">
                  <c:v>90.25</c:v>
                </c:pt>
                <c:pt idx="26">
                  <c:v>132.15</c:v>
                </c:pt>
                <c:pt idx="27">
                  <c:v>133.27000000000001</c:v>
                </c:pt>
                <c:pt idx="28">
                  <c:v>133.19</c:v>
                </c:pt>
                <c:pt idx="29">
                  <c:v>132.43</c:v>
                </c:pt>
                <c:pt idx="30">
                  <c:v>158.15</c:v>
                </c:pt>
                <c:pt idx="31">
                  <c:v>145.07</c:v>
                </c:pt>
                <c:pt idx="32">
                  <c:v>125.95</c:v>
                </c:pt>
                <c:pt idx="33">
                  <c:v>113.49</c:v>
                </c:pt>
                <c:pt idx="34">
                  <c:v>136.61000000000001</c:v>
                </c:pt>
                <c:pt idx="35">
                  <c:v>139.71</c:v>
                </c:pt>
                <c:pt idx="36">
                  <c:v>149.85</c:v>
                </c:pt>
                <c:pt idx="37">
                  <c:v>164.23</c:v>
                </c:pt>
                <c:pt idx="38">
                  <c:v>156.36000000000001</c:v>
                </c:pt>
                <c:pt idx="39">
                  <c:v>142.55000000000001</c:v>
                </c:pt>
                <c:pt idx="40">
                  <c:v>142.25</c:v>
                </c:pt>
                <c:pt idx="41">
                  <c:v>164.44</c:v>
                </c:pt>
                <c:pt idx="42">
                  <c:v>154.85</c:v>
                </c:pt>
                <c:pt idx="43">
                  <c:v>167.55</c:v>
                </c:pt>
                <c:pt idx="44">
                  <c:v>176.03</c:v>
                </c:pt>
                <c:pt idx="45">
                  <c:v>153.84</c:v>
                </c:pt>
                <c:pt idx="46">
                  <c:v>167.73</c:v>
                </c:pt>
                <c:pt idx="47">
                  <c:v>173.79</c:v>
                </c:pt>
                <c:pt idx="48">
                  <c:v>181.35</c:v>
                </c:pt>
                <c:pt idx="49">
                  <c:v>167.95</c:v>
                </c:pt>
                <c:pt idx="50">
                  <c:v>174.67</c:v>
                </c:pt>
                <c:pt idx="51">
                  <c:v>173.01</c:v>
                </c:pt>
                <c:pt idx="52">
                  <c:v>201.5</c:v>
                </c:pt>
                <c:pt idx="53">
                  <c:v>178.61</c:v>
                </c:pt>
                <c:pt idx="54">
                  <c:v>167.96</c:v>
                </c:pt>
                <c:pt idx="55">
                  <c:v>156.33000000000001</c:v>
                </c:pt>
                <c:pt idx="56">
                  <c:v>149.16999999999999</c:v>
                </c:pt>
                <c:pt idx="57">
                  <c:v>126.77</c:v>
                </c:pt>
                <c:pt idx="58">
                  <c:v>97.98</c:v>
                </c:pt>
                <c:pt idx="59">
                  <c:v>180.95</c:v>
                </c:pt>
                <c:pt idx="60">
                  <c:v>204.13</c:v>
                </c:pt>
                <c:pt idx="61">
                  <c:v>255.3</c:v>
                </c:pt>
                <c:pt idx="62">
                  <c:v>284.93</c:v>
                </c:pt>
                <c:pt idx="63">
                  <c:v>221.63</c:v>
                </c:pt>
                <c:pt idx="64">
                  <c:v>239.12</c:v>
                </c:pt>
                <c:pt idx="65">
                  <c:v>235.5</c:v>
                </c:pt>
                <c:pt idx="66">
                  <c:v>297.88</c:v>
                </c:pt>
                <c:pt idx="67">
                  <c:v>409.59</c:v>
                </c:pt>
                <c:pt idx="68">
                  <c:v>267.10000000000002</c:v>
                </c:pt>
                <c:pt idx="69">
                  <c:v>235.62</c:v>
                </c:pt>
                <c:pt idx="70">
                  <c:v>240.95</c:v>
                </c:pt>
                <c:pt idx="71">
                  <c:v>263.39999999999998</c:v>
                </c:pt>
                <c:pt idx="72">
                  <c:v>290.64</c:v>
                </c:pt>
                <c:pt idx="73">
                  <c:v>217.87</c:v>
                </c:pt>
                <c:pt idx="74">
                  <c:v>175.99</c:v>
                </c:pt>
                <c:pt idx="75">
                  <c:v>151.04</c:v>
                </c:pt>
                <c:pt idx="76">
                  <c:v>153.43</c:v>
                </c:pt>
                <c:pt idx="77">
                  <c:v>149.02000000000001</c:v>
                </c:pt>
                <c:pt idx="78">
                  <c:v>164.34</c:v>
                </c:pt>
                <c:pt idx="79">
                  <c:v>182.36</c:v>
                </c:pt>
                <c:pt idx="80">
                  <c:v>188.79</c:v>
                </c:pt>
                <c:pt idx="81">
                  <c:v>165.78</c:v>
                </c:pt>
                <c:pt idx="82">
                  <c:v>153.97</c:v>
                </c:pt>
                <c:pt idx="83">
                  <c:v>120.29</c:v>
                </c:pt>
                <c:pt idx="84">
                  <c:v>169.12</c:v>
                </c:pt>
                <c:pt idx="85">
                  <c:v>167.87</c:v>
                </c:pt>
                <c:pt idx="86">
                  <c:v>158.25</c:v>
                </c:pt>
                <c:pt idx="87">
                  <c:v>180.22</c:v>
                </c:pt>
                <c:pt idx="88">
                  <c:v>181.13</c:v>
                </c:pt>
                <c:pt idx="89">
                  <c:v>147.46</c:v>
                </c:pt>
                <c:pt idx="90">
                  <c:v>175.17</c:v>
                </c:pt>
                <c:pt idx="91">
                  <c:v>168.67</c:v>
                </c:pt>
                <c:pt idx="92">
                  <c:v>183.93</c:v>
                </c:pt>
                <c:pt idx="93">
                  <c:v>190.28</c:v>
                </c:pt>
                <c:pt idx="94">
                  <c:v>166.85</c:v>
                </c:pt>
                <c:pt idx="95">
                  <c:v>151.05000000000001</c:v>
                </c:pt>
                <c:pt idx="96">
                  <c:v>172.17</c:v>
                </c:pt>
                <c:pt idx="97">
                  <c:v>202.42</c:v>
                </c:pt>
                <c:pt idx="98">
                  <c:v>199.36</c:v>
                </c:pt>
                <c:pt idx="99">
                  <c:v>164.05</c:v>
                </c:pt>
                <c:pt idx="100">
                  <c:v>199.71</c:v>
                </c:pt>
                <c:pt idx="101">
                  <c:v>190.55</c:v>
                </c:pt>
                <c:pt idx="102">
                  <c:v>188.52</c:v>
                </c:pt>
                <c:pt idx="103">
                  <c:v>151.72</c:v>
                </c:pt>
                <c:pt idx="104">
                  <c:v>148.02000000000001</c:v>
                </c:pt>
                <c:pt idx="105">
                  <c:v>151.16</c:v>
                </c:pt>
                <c:pt idx="106">
                  <c:v>133.21</c:v>
                </c:pt>
                <c:pt idx="107">
                  <c:v>157.26</c:v>
                </c:pt>
                <c:pt idx="108">
                  <c:v>44.68</c:v>
                </c:pt>
                <c:pt idx="109">
                  <c:v>86.83</c:v>
                </c:pt>
                <c:pt idx="110">
                  <c:v>219.79</c:v>
                </c:pt>
                <c:pt idx="111">
                  <c:v>210.34</c:v>
                </c:pt>
                <c:pt idx="112">
                  <c:v>243.21</c:v>
                </c:pt>
                <c:pt idx="113">
                  <c:v>267.82</c:v>
                </c:pt>
                <c:pt idx="114">
                  <c:v>270.12</c:v>
                </c:pt>
                <c:pt idx="115">
                  <c:v>269.61</c:v>
                </c:pt>
                <c:pt idx="116">
                  <c:v>254.11</c:v>
                </c:pt>
                <c:pt idx="117">
                  <c:v>237.87</c:v>
                </c:pt>
                <c:pt idx="118">
                  <c:v>253.53</c:v>
                </c:pt>
                <c:pt idx="119">
                  <c:v>190.53</c:v>
                </c:pt>
                <c:pt idx="120">
                  <c:v>157.38</c:v>
                </c:pt>
                <c:pt idx="121">
                  <c:v>180.11</c:v>
                </c:pt>
                <c:pt idx="122">
                  <c:v>182.23</c:v>
                </c:pt>
                <c:pt idx="123">
                  <c:v>219.19</c:v>
                </c:pt>
                <c:pt idx="124">
                  <c:v>181.62</c:v>
                </c:pt>
                <c:pt idx="125">
                  <c:v>200.58</c:v>
                </c:pt>
                <c:pt idx="126">
                  <c:v>249.74</c:v>
                </c:pt>
                <c:pt idx="127">
                  <c:v>232.17</c:v>
                </c:pt>
                <c:pt idx="128">
                  <c:v>192.88</c:v>
                </c:pt>
                <c:pt idx="129">
                  <c:v>221.98</c:v>
                </c:pt>
                <c:pt idx="130">
                  <c:v>212.07</c:v>
                </c:pt>
                <c:pt idx="131">
                  <c:v>221.23</c:v>
                </c:pt>
                <c:pt idx="132">
                  <c:v>203.42</c:v>
                </c:pt>
                <c:pt idx="133">
                  <c:v>223.98</c:v>
                </c:pt>
                <c:pt idx="134">
                  <c:v>199.97</c:v>
                </c:pt>
                <c:pt idx="135">
                  <c:v>239.96</c:v>
                </c:pt>
                <c:pt idx="136">
                  <c:v>221.43</c:v>
                </c:pt>
                <c:pt idx="137">
                  <c:v>249.17</c:v>
                </c:pt>
                <c:pt idx="138">
                  <c:v>237.88</c:v>
                </c:pt>
                <c:pt idx="139">
                  <c:v>287.35000000000002</c:v>
                </c:pt>
                <c:pt idx="140">
                  <c:v>290.70999999999998</c:v>
                </c:pt>
                <c:pt idx="141">
                  <c:v>261.08999999999997</c:v>
                </c:pt>
                <c:pt idx="142">
                  <c:v>266.02</c:v>
                </c:pt>
                <c:pt idx="143">
                  <c:v>221.8</c:v>
                </c:pt>
                <c:pt idx="144">
                  <c:v>136.08000000000001</c:v>
                </c:pt>
                <c:pt idx="145">
                  <c:v>258.72000000000003</c:v>
                </c:pt>
                <c:pt idx="146">
                  <c:v>282.62</c:v>
                </c:pt>
                <c:pt idx="147">
                  <c:v>248.48</c:v>
                </c:pt>
                <c:pt idx="148">
                  <c:v>265.19</c:v>
                </c:pt>
                <c:pt idx="149">
                  <c:v>246.03</c:v>
                </c:pt>
                <c:pt idx="150">
                  <c:v>252.13</c:v>
                </c:pt>
                <c:pt idx="151">
                  <c:v>231.25</c:v>
                </c:pt>
                <c:pt idx="152">
                  <c:v>260.93</c:v>
                </c:pt>
                <c:pt idx="153">
                  <c:v>272.19</c:v>
                </c:pt>
                <c:pt idx="154">
                  <c:v>240.9</c:v>
                </c:pt>
                <c:pt idx="155">
                  <c:v>196.6</c:v>
                </c:pt>
                <c:pt idx="156">
                  <c:v>160.86000000000001</c:v>
                </c:pt>
                <c:pt idx="157">
                  <c:v>224.14</c:v>
                </c:pt>
                <c:pt idx="158">
                  <c:v>172.17</c:v>
                </c:pt>
                <c:pt idx="159">
                  <c:v>153.19</c:v>
                </c:pt>
                <c:pt idx="160">
                  <c:v>130.87</c:v>
                </c:pt>
                <c:pt idx="161">
                  <c:v>133.87</c:v>
                </c:pt>
                <c:pt idx="162">
                  <c:v>93.54</c:v>
                </c:pt>
                <c:pt idx="163">
                  <c:v>65.739999999999995</c:v>
                </c:pt>
                <c:pt idx="164">
                  <c:v>94.06</c:v>
                </c:pt>
                <c:pt idx="165">
                  <c:v>150.84</c:v>
                </c:pt>
                <c:pt idx="166">
                  <c:v>147.44999999999999</c:v>
                </c:pt>
                <c:pt idx="167">
                  <c:v>125.39</c:v>
                </c:pt>
                <c:pt idx="168">
                  <c:v>129.97999999999999</c:v>
                </c:pt>
                <c:pt idx="169">
                  <c:v>223.72</c:v>
                </c:pt>
                <c:pt idx="170">
                  <c:v>236.63</c:v>
                </c:pt>
                <c:pt idx="171">
                  <c:v>288.54000000000002</c:v>
                </c:pt>
                <c:pt idx="172">
                  <c:v>217.16</c:v>
                </c:pt>
                <c:pt idx="173">
                  <c:v>244.1</c:v>
                </c:pt>
                <c:pt idx="174">
                  <c:v>307.16000000000003</c:v>
                </c:pt>
                <c:pt idx="175">
                  <c:v>284.47000000000003</c:v>
                </c:pt>
                <c:pt idx="176">
                  <c:v>269.88</c:v>
                </c:pt>
                <c:pt idx="177">
                  <c:v>221.42</c:v>
                </c:pt>
                <c:pt idx="178">
                  <c:v>274.74</c:v>
                </c:pt>
                <c:pt idx="179">
                  <c:v>255.76</c:v>
                </c:pt>
                <c:pt idx="180">
                  <c:v>188.81</c:v>
                </c:pt>
                <c:pt idx="181">
                  <c:v>161.66999999999999</c:v>
                </c:pt>
                <c:pt idx="182">
                  <c:v>202.16</c:v>
                </c:pt>
                <c:pt idx="183">
                  <c:v>262.97000000000003</c:v>
                </c:pt>
                <c:pt idx="184">
                  <c:v>238.44</c:v>
                </c:pt>
                <c:pt idx="185">
                  <c:v>190.9</c:v>
                </c:pt>
                <c:pt idx="186">
                  <c:v>238.54</c:v>
                </c:pt>
                <c:pt idx="187">
                  <c:v>330.48</c:v>
                </c:pt>
                <c:pt idx="188">
                  <c:v>290.22000000000003</c:v>
                </c:pt>
                <c:pt idx="189">
                  <c:v>264.93</c:v>
                </c:pt>
                <c:pt idx="190">
                  <c:v>250.91</c:v>
                </c:pt>
                <c:pt idx="191">
                  <c:v>294.63</c:v>
                </c:pt>
                <c:pt idx="192">
                  <c:v>350.51</c:v>
                </c:pt>
                <c:pt idx="193">
                  <c:v>265.37</c:v>
                </c:pt>
                <c:pt idx="194">
                  <c:v>188.72</c:v>
                </c:pt>
                <c:pt idx="195">
                  <c:v>200.37</c:v>
                </c:pt>
                <c:pt idx="196">
                  <c:v>283.5</c:v>
                </c:pt>
                <c:pt idx="197">
                  <c:v>279.56</c:v>
                </c:pt>
                <c:pt idx="198">
                  <c:v>224.3</c:v>
                </c:pt>
                <c:pt idx="199">
                  <c:v>175.31</c:v>
                </c:pt>
                <c:pt idx="200">
                  <c:v>251.28</c:v>
                </c:pt>
                <c:pt idx="201">
                  <c:v>228.46</c:v>
                </c:pt>
                <c:pt idx="202">
                  <c:v>201.96</c:v>
                </c:pt>
                <c:pt idx="203">
                  <c:v>238.76</c:v>
                </c:pt>
                <c:pt idx="204">
                  <c:v>229.9</c:v>
                </c:pt>
                <c:pt idx="205">
                  <c:v>256.31</c:v>
                </c:pt>
                <c:pt idx="206">
                  <c:v>261.23</c:v>
                </c:pt>
                <c:pt idx="207">
                  <c:v>233.17</c:v>
                </c:pt>
                <c:pt idx="208">
                  <c:v>200.85</c:v>
                </c:pt>
                <c:pt idx="209">
                  <c:v>286.02</c:v>
                </c:pt>
                <c:pt idx="210">
                  <c:v>256.95</c:v>
                </c:pt>
                <c:pt idx="211">
                  <c:v>202.2</c:v>
                </c:pt>
                <c:pt idx="212">
                  <c:v>143.81</c:v>
                </c:pt>
                <c:pt idx="213">
                  <c:v>111.64</c:v>
                </c:pt>
                <c:pt idx="214">
                  <c:v>75.81</c:v>
                </c:pt>
                <c:pt idx="215">
                  <c:v>261.7</c:v>
                </c:pt>
                <c:pt idx="216">
                  <c:v>221.39</c:v>
                </c:pt>
                <c:pt idx="217">
                  <c:v>253.51</c:v>
                </c:pt>
                <c:pt idx="218">
                  <c:v>221.52</c:v>
                </c:pt>
                <c:pt idx="219">
                  <c:v>201.85</c:v>
                </c:pt>
                <c:pt idx="220">
                  <c:v>200.5</c:v>
                </c:pt>
                <c:pt idx="221">
                  <c:v>164.82</c:v>
                </c:pt>
                <c:pt idx="222">
                  <c:v>218.68</c:v>
                </c:pt>
                <c:pt idx="223">
                  <c:v>191.54</c:v>
                </c:pt>
                <c:pt idx="224">
                  <c:v>211.76</c:v>
                </c:pt>
                <c:pt idx="225">
                  <c:v>171.35</c:v>
                </c:pt>
                <c:pt idx="226">
                  <c:v>226.23</c:v>
                </c:pt>
                <c:pt idx="227">
                  <c:v>252.15</c:v>
                </c:pt>
                <c:pt idx="228">
                  <c:v>192.31</c:v>
                </c:pt>
                <c:pt idx="229">
                  <c:v>187.53</c:v>
                </c:pt>
                <c:pt idx="230">
                  <c:v>233.76</c:v>
                </c:pt>
                <c:pt idx="231">
                  <c:v>248.21</c:v>
                </c:pt>
                <c:pt idx="232">
                  <c:v>212.52</c:v>
                </c:pt>
                <c:pt idx="233">
                  <c:v>185.68</c:v>
                </c:pt>
                <c:pt idx="234">
                  <c:v>174.9</c:v>
                </c:pt>
                <c:pt idx="235">
                  <c:v>278.27</c:v>
                </c:pt>
                <c:pt idx="236">
                  <c:v>184.46</c:v>
                </c:pt>
                <c:pt idx="237">
                  <c:v>141.16</c:v>
                </c:pt>
                <c:pt idx="238">
                  <c:v>143.11000000000001</c:v>
                </c:pt>
                <c:pt idx="239">
                  <c:v>186.35</c:v>
                </c:pt>
                <c:pt idx="240">
                  <c:v>206.96</c:v>
                </c:pt>
                <c:pt idx="241">
                  <c:v>165.33</c:v>
                </c:pt>
                <c:pt idx="242">
                  <c:v>140.72999999999999</c:v>
                </c:pt>
                <c:pt idx="243">
                  <c:v>137.94999999999999</c:v>
                </c:pt>
                <c:pt idx="244">
                  <c:v>171.3</c:v>
                </c:pt>
                <c:pt idx="245">
                  <c:v>117.08</c:v>
                </c:pt>
                <c:pt idx="246">
                  <c:v>116.77</c:v>
                </c:pt>
                <c:pt idx="247">
                  <c:v>122.08</c:v>
                </c:pt>
                <c:pt idx="248">
                  <c:v>140.43</c:v>
                </c:pt>
                <c:pt idx="249">
                  <c:v>130.62</c:v>
                </c:pt>
                <c:pt idx="250">
                  <c:v>129.88999999999999</c:v>
                </c:pt>
                <c:pt idx="251">
                  <c:v>128.6</c:v>
                </c:pt>
                <c:pt idx="252">
                  <c:v>158.01</c:v>
                </c:pt>
                <c:pt idx="253">
                  <c:v>160.12</c:v>
                </c:pt>
                <c:pt idx="254">
                  <c:v>143.93</c:v>
                </c:pt>
                <c:pt idx="255">
                  <c:v>128.88999999999999</c:v>
                </c:pt>
                <c:pt idx="256">
                  <c:v>117.75</c:v>
                </c:pt>
                <c:pt idx="257">
                  <c:v>126.19</c:v>
                </c:pt>
                <c:pt idx="258">
                  <c:v>104.5</c:v>
                </c:pt>
                <c:pt idx="259">
                  <c:v>90.54</c:v>
                </c:pt>
                <c:pt idx="260">
                  <c:v>81.12</c:v>
                </c:pt>
                <c:pt idx="261">
                  <c:v>114.94</c:v>
                </c:pt>
                <c:pt idx="262">
                  <c:v>109.66</c:v>
                </c:pt>
                <c:pt idx="263">
                  <c:v>98.86</c:v>
                </c:pt>
                <c:pt idx="264">
                  <c:v>57.57</c:v>
                </c:pt>
                <c:pt idx="265">
                  <c:v>45.59</c:v>
                </c:pt>
                <c:pt idx="266">
                  <c:v>57.08</c:v>
                </c:pt>
                <c:pt idx="267">
                  <c:v>61.24</c:v>
                </c:pt>
                <c:pt idx="268">
                  <c:v>66.849999999999994</c:v>
                </c:pt>
                <c:pt idx="269">
                  <c:v>93.74</c:v>
                </c:pt>
                <c:pt idx="270">
                  <c:v>112.36</c:v>
                </c:pt>
                <c:pt idx="271">
                  <c:v>119.49</c:v>
                </c:pt>
                <c:pt idx="272">
                  <c:v>124.73</c:v>
                </c:pt>
                <c:pt idx="273">
                  <c:v>128.72</c:v>
                </c:pt>
              </c:numCache>
            </c:numRef>
          </c:val>
          <c:extLst>
            <c:ext xmlns:c16="http://schemas.microsoft.com/office/drawing/2014/chart" uri="{C3380CC4-5D6E-409C-BE32-E72D297353CC}">
              <c16:uniqueId val="{00000000-0E91-4C2C-BFAC-CEB5F8ADA182}"/>
            </c:ext>
          </c:extLst>
        </c:ser>
        <c:dLbls>
          <c:showLegendKey val="0"/>
          <c:showVal val="0"/>
          <c:showCatName val="0"/>
          <c:showSerName val="0"/>
          <c:showPercent val="0"/>
          <c:showBubbleSize val="0"/>
        </c:dLbls>
        <c:gapWidth val="219"/>
        <c:axId val="-2022688032"/>
        <c:axId val="-2022686400"/>
      </c:barChart>
      <c:lineChart>
        <c:grouping val="standard"/>
        <c:varyColors val="0"/>
        <c:ser>
          <c:idx val="1"/>
          <c:order val="1"/>
          <c:tx>
            <c:strRef>
              <c:f>'Listed&amp;Price'!$G$18</c:f>
              <c:strCache>
                <c:ptCount val="1"/>
                <c:pt idx="0">
                  <c:v>Listed for-sale Price Index(RHS)</c:v>
                </c:pt>
              </c:strCache>
            </c:strRef>
          </c:tx>
          <c:spPr>
            <a:ln w="12700" cap="rnd">
              <a:solidFill>
                <a:srgbClr val="C00000"/>
              </a:solidFill>
              <a:round/>
            </a:ln>
            <a:effectLst/>
          </c:spPr>
          <c:marker>
            <c:symbol val="none"/>
          </c:marker>
          <c:cat>
            <c:numRef>
              <c:f>'Listed&amp;Price'!$A$19:$A$292</c:f>
              <c:numCache>
                <c:formatCode>m/d/yyyy</c:formatCode>
                <c:ptCount val="274"/>
                <c:pt idx="0">
                  <c:v>42008</c:v>
                </c:pt>
                <c:pt idx="1">
                  <c:v>42015</c:v>
                </c:pt>
                <c:pt idx="2">
                  <c:v>42022</c:v>
                </c:pt>
                <c:pt idx="3">
                  <c:v>42029</c:v>
                </c:pt>
                <c:pt idx="4">
                  <c:v>42036</c:v>
                </c:pt>
                <c:pt idx="5">
                  <c:v>42043</c:v>
                </c:pt>
                <c:pt idx="6">
                  <c:v>42050</c:v>
                </c:pt>
                <c:pt idx="7">
                  <c:v>42057</c:v>
                </c:pt>
                <c:pt idx="8">
                  <c:v>42064</c:v>
                </c:pt>
                <c:pt idx="9">
                  <c:v>42071</c:v>
                </c:pt>
                <c:pt idx="10">
                  <c:v>42078</c:v>
                </c:pt>
                <c:pt idx="11">
                  <c:v>42085</c:v>
                </c:pt>
                <c:pt idx="12">
                  <c:v>42092</c:v>
                </c:pt>
                <c:pt idx="13">
                  <c:v>42099</c:v>
                </c:pt>
                <c:pt idx="14">
                  <c:v>42106</c:v>
                </c:pt>
                <c:pt idx="15">
                  <c:v>42113</c:v>
                </c:pt>
                <c:pt idx="16">
                  <c:v>42120</c:v>
                </c:pt>
                <c:pt idx="17">
                  <c:v>42127</c:v>
                </c:pt>
                <c:pt idx="18">
                  <c:v>42134</c:v>
                </c:pt>
                <c:pt idx="19">
                  <c:v>42141</c:v>
                </c:pt>
                <c:pt idx="20">
                  <c:v>42148</c:v>
                </c:pt>
                <c:pt idx="21">
                  <c:v>42155</c:v>
                </c:pt>
                <c:pt idx="22">
                  <c:v>42162</c:v>
                </c:pt>
                <c:pt idx="23">
                  <c:v>42169</c:v>
                </c:pt>
                <c:pt idx="24">
                  <c:v>42176</c:v>
                </c:pt>
                <c:pt idx="25">
                  <c:v>42183</c:v>
                </c:pt>
                <c:pt idx="26">
                  <c:v>42190</c:v>
                </c:pt>
                <c:pt idx="27">
                  <c:v>42197</c:v>
                </c:pt>
                <c:pt idx="28">
                  <c:v>42204</c:v>
                </c:pt>
                <c:pt idx="29">
                  <c:v>42211</c:v>
                </c:pt>
                <c:pt idx="30">
                  <c:v>42218</c:v>
                </c:pt>
                <c:pt idx="31">
                  <c:v>42225</c:v>
                </c:pt>
                <c:pt idx="32">
                  <c:v>42232</c:v>
                </c:pt>
                <c:pt idx="33">
                  <c:v>42239</c:v>
                </c:pt>
                <c:pt idx="34">
                  <c:v>42246</c:v>
                </c:pt>
                <c:pt idx="35">
                  <c:v>42253</c:v>
                </c:pt>
                <c:pt idx="36">
                  <c:v>42260</c:v>
                </c:pt>
                <c:pt idx="37">
                  <c:v>42267</c:v>
                </c:pt>
                <c:pt idx="38">
                  <c:v>42274</c:v>
                </c:pt>
                <c:pt idx="39">
                  <c:v>42281</c:v>
                </c:pt>
                <c:pt idx="40">
                  <c:v>42288</c:v>
                </c:pt>
                <c:pt idx="41">
                  <c:v>42295</c:v>
                </c:pt>
                <c:pt idx="42">
                  <c:v>42302</c:v>
                </c:pt>
                <c:pt idx="43">
                  <c:v>42309</c:v>
                </c:pt>
                <c:pt idx="44">
                  <c:v>42316</c:v>
                </c:pt>
                <c:pt idx="45">
                  <c:v>42323</c:v>
                </c:pt>
                <c:pt idx="46">
                  <c:v>42330</c:v>
                </c:pt>
                <c:pt idx="47">
                  <c:v>42337</c:v>
                </c:pt>
                <c:pt idx="48">
                  <c:v>42344</c:v>
                </c:pt>
                <c:pt idx="49">
                  <c:v>42351</c:v>
                </c:pt>
                <c:pt idx="50">
                  <c:v>42358</c:v>
                </c:pt>
                <c:pt idx="51">
                  <c:v>42365</c:v>
                </c:pt>
                <c:pt idx="52">
                  <c:v>42372</c:v>
                </c:pt>
                <c:pt idx="53">
                  <c:v>42379</c:v>
                </c:pt>
                <c:pt idx="54">
                  <c:v>42386</c:v>
                </c:pt>
                <c:pt idx="55">
                  <c:v>42393</c:v>
                </c:pt>
                <c:pt idx="56">
                  <c:v>42400</c:v>
                </c:pt>
                <c:pt idx="57">
                  <c:v>42407</c:v>
                </c:pt>
                <c:pt idx="58">
                  <c:v>42414</c:v>
                </c:pt>
                <c:pt idx="59">
                  <c:v>42421</c:v>
                </c:pt>
                <c:pt idx="60">
                  <c:v>42428</c:v>
                </c:pt>
                <c:pt idx="61">
                  <c:v>42435</c:v>
                </c:pt>
                <c:pt idx="62">
                  <c:v>42442</c:v>
                </c:pt>
                <c:pt idx="63">
                  <c:v>42449</c:v>
                </c:pt>
                <c:pt idx="64">
                  <c:v>42456</c:v>
                </c:pt>
                <c:pt idx="65">
                  <c:v>42463</c:v>
                </c:pt>
                <c:pt idx="66">
                  <c:v>42470</c:v>
                </c:pt>
                <c:pt idx="67">
                  <c:v>42477</c:v>
                </c:pt>
                <c:pt idx="68">
                  <c:v>42484</c:v>
                </c:pt>
                <c:pt idx="69">
                  <c:v>42491</c:v>
                </c:pt>
                <c:pt idx="70">
                  <c:v>42498</c:v>
                </c:pt>
                <c:pt idx="71">
                  <c:v>42505</c:v>
                </c:pt>
                <c:pt idx="72">
                  <c:v>42512</c:v>
                </c:pt>
                <c:pt idx="73">
                  <c:v>42519</c:v>
                </c:pt>
                <c:pt idx="74">
                  <c:v>42526</c:v>
                </c:pt>
                <c:pt idx="75">
                  <c:v>42533</c:v>
                </c:pt>
                <c:pt idx="76">
                  <c:v>42540</c:v>
                </c:pt>
                <c:pt idx="77">
                  <c:v>42547</c:v>
                </c:pt>
                <c:pt idx="78">
                  <c:v>42554</c:v>
                </c:pt>
                <c:pt idx="79">
                  <c:v>42561</c:v>
                </c:pt>
                <c:pt idx="80">
                  <c:v>42568</c:v>
                </c:pt>
                <c:pt idx="81">
                  <c:v>42575</c:v>
                </c:pt>
                <c:pt idx="82">
                  <c:v>42582</c:v>
                </c:pt>
                <c:pt idx="83">
                  <c:v>42589</c:v>
                </c:pt>
                <c:pt idx="84">
                  <c:v>42596</c:v>
                </c:pt>
                <c:pt idx="85">
                  <c:v>42603</c:v>
                </c:pt>
                <c:pt idx="86">
                  <c:v>42610</c:v>
                </c:pt>
                <c:pt idx="87">
                  <c:v>42617</c:v>
                </c:pt>
                <c:pt idx="88">
                  <c:v>42624</c:v>
                </c:pt>
                <c:pt idx="89">
                  <c:v>42631</c:v>
                </c:pt>
                <c:pt idx="90">
                  <c:v>42638</c:v>
                </c:pt>
                <c:pt idx="91">
                  <c:v>42645</c:v>
                </c:pt>
                <c:pt idx="92">
                  <c:v>42652</c:v>
                </c:pt>
                <c:pt idx="93">
                  <c:v>42659</c:v>
                </c:pt>
                <c:pt idx="94">
                  <c:v>42666</c:v>
                </c:pt>
                <c:pt idx="95">
                  <c:v>42673</c:v>
                </c:pt>
                <c:pt idx="96">
                  <c:v>42680</c:v>
                </c:pt>
                <c:pt idx="97">
                  <c:v>42687</c:v>
                </c:pt>
                <c:pt idx="98">
                  <c:v>42694</c:v>
                </c:pt>
                <c:pt idx="99">
                  <c:v>42701</c:v>
                </c:pt>
                <c:pt idx="100">
                  <c:v>42708</c:v>
                </c:pt>
                <c:pt idx="101">
                  <c:v>42715</c:v>
                </c:pt>
                <c:pt idx="102">
                  <c:v>42722</c:v>
                </c:pt>
                <c:pt idx="103">
                  <c:v>42729</c:v>
                </c:pt>
                <c:pt idx="104">
                  <c:v>42736</c:v>
                </c:pt>
                <c:pt idx="105">
                  <c:v>42743</c:v>
                </c:pt>
                <c:pt idx="106">
                  <c:v>42750</c:v>
                </c:pt>
                <c:pt idx="107">
                  <c:v>42757</c:v>
                </c:pt>
                <c:pt idx="108">
                  <c:v>42764</c:v>
                </c:pt>
                <c:pt idx="109">
                  <c:v>42771</c:v>
                </c:pt>
                <c:pt idx="110">
                  <c:v>42778</c:v>
                </c:pt>
                <c:pt idx="111">
                  <c:v>42785</c:v>
                </c:pt>
                <c:pt idx="112">
                  <c:v>42792</c:v>
                </c:pt>
                <c:pt idx="113">
                  <c:v>42799</c:v>
                </c:pt>
                <c:pt idx="114">
                  <c:v>42806</c:v>
                </c:pt>
                <c:pt idx="115">
                  <c:v>42813</c:v>
                </c:pt>
                <c:pt idx="116">
                  <c:v>42820</c:v>
                </c:pt>
                <c:pt idx="117">
                  <c:v>42827</c:v>
                </c:pt>
                <c:pt idx="118">
                  <c:v>42834</c:v>
                </c:pt>
                <c:pt idx="119">
                  <c:v>42841</c:v>
                </c:pt>
                <c:pt idx="120">
                  <c:v>42848</c:v>
                </c:pt>
                <c:pt idx="121">
                  <c:v>42855</c:v>
                </c:pt>
                <c:pt idx="122">
                  <c:v>42862</c:v>
                </c:pt>
                <c:pt idx="123">
                  <c:v>42869</c:v>
                </c:pt>
                <c:pt idx="124">
                  <c:v>42876</c:v>
                </c:pt>
                <c:pt idx="125">
                  <c:v>42883</c:v>
                </c:pt>
                <c:pt idx="126">
                  <c:v>42890</c:v>
                </c:pt>
                <c:pt idx="127">
                  <c:v>42897</c:v>
                </c:pt>
                <c:pt idx="128">
                  <c:v>42904</c:v>
                </c:pt>
                <c:pt idx="129">
                  <c:v>42911</c:v>
                </c:pt>
                <c:pt idx="130">
                  <c:v>42918</c:v>
                </c:pt>
                <c:pt idx="131">
                  <c:v>42925</c:v>
                </c:pt>
                <c:pt idx="132">
                  <c:v>42932</c:v>
                </c:pt>
                <c:pt idx="133">
                  <c:v>42939</c:v>
                </c:pt>
                <c:pt idx="134">
                  <c:v>42946</c:v>
                </c:pt>
                <c:pt idx="135">
                  <c:v>42953</c:v>
                </c:pt>
                <c:pt idx="136">
                  <c:v>42960</c:v>
                </c:pt>
                <c:pt idx="137">
                  <c:v>42967</c:v>
                </c:pt>
                <c:pt idx="138">
                  <c:v>42974</c:v>
                </c:pt>
                <c:pt idx="139">
                  <c:v>42981</c:v>
                </c:pt>
                <c:pt idx="140">
                  <c:v>42988</c:v>
                </c:pt>
                <c:pt idx="141">
                  <c:v>42995</c:v>
                </c:pt>
                <c:pt idx="142">
                  <c:v>43002</c:v>
                </c:pt>
                <c:pt idx="143">
                  <c:v>43009</c:v>
                </c:pt>
                <c:pt idx="144">
                  <c:v>43016</c:v>
                </c:pt>
                <c:pt idx="145">
                  <c:v>43023</c:v>
                </c:pt>
                <c:pt idx="146">
                  <c:v>43030</c:v>
                </c:pt>
                <c:pt idx="147">
                  <c:v>43037</c:v>
                </c:pt>
                <c:pt idx="148">
                  <c:v>43044</c:v>
                </c:pt>
                <c:pt idx="149">
                  <c:v>43051</c:v>
                </c:pt>
                <c:pt idx="150">
                  <c:v>43058</c:v>
                </c:pt>
                <c:pt idx="151">
                  <c:v>43065</c:v>
                </c:pt>
                <c:pt idx="152">
                  <c:v>43072</c:v>
                </c:pt>
                <c:pt idx="153">
                  <c:v>43079</c:v>
                </c:pt>
                <c:pt idx="154">
                  <c:v>43086</c:v>
                </c:pt>
                <c:pt idx="155">
                  <c:v>43093</c:v>
                </c:pt>
                <c:pt idx="156">
                  <c:v>43100</c:v>
                </c:pt>
                <c:pt idx="157">
                  <c:v>43107</c:v>
                </c:pt>
                <c:pt idx="158">
                  <c:v>43114</c:v>
                </c:pt>
                <c:pt idx="159">
                  <c:v>43121</c:v>
                </c:pt>
                <c:pt idx="160">
                  <c:v>43128</c:v>
                </c:pt>
                <c:pt idx="161">
                  <c:v>43135</c:v>
                </c:pt>
                <c:pt idx="162">
                  <c:v>43142</c:v>
                </c:pt>
                <c:pt idx="163">
                  <c:v>43149</c:v>
                </c:pt>
                <c:pt idx="164">
                  <c:v>43156</c:v>
                </c:pt>
                <c:pt idx="165">
                  <c:v>43163</c:v>
                </c:pt>
                <c:pt idx="166">
                  <c:v>43170</c:v>
                </c:pt>
                <c:pt idx="167">
                  <c:v>43177</c:v>
                </c:pt>
                <c:pt idx="168">
                  <c:v>43184</c:v>
                </c:pt>
                <c:pt idx="169">
                  <c:v>43191</c:v>
                </c:pt>
                <c:pt idx="170">
                  <c:v>43198</c:v>
                </c:pt>
                <c:pt idx="171">
                  <c:v>43205</c:v>
                </c:pt>
                <c:pt idx="172">
                  <c:v>43212</c:v>
                </c:pt>
                <c:pt idx="173">
                  <c:v>43219</c:v>
                </c:pt>
                <c:pt idx="174">
                  <c:v>43226</c:v>
                </c:pt>
                <c:pt idx="175">
                  <c:v>43233</c:v>
                </c:pt>
                <c:pt idx="176">
                  <c:v>43240</c:v>
                </c:pt>
                <c:pt idx="177">
                  <c:v>43247</c:v>
                </c:pt>
                <c:pt idx="178">
                  <c:v>43254</c:v>
                </c:pt>
                <c:pt idx="179">
                  <c:v>43261</c:v>
                </c:pt>
                <c:pt idx="180">
                  <c:v>43268</c:v>
                </c:pt>
                <c:pt idx="181">
                  <c:v>43275</c:v>
                </c:pt>
                <c:pt idx="182">
                  <c:v>43282</c:v>
                </c:pt>
                <c:pt idx="183">
                  <c:v>43289</c:v>
                </c:pt>
                <c:pt idx="184">
                  <c:v>43296</c:v>
                </c:pt>
                <c:pt idx="185">
                  <c:v>43303</c:v>
                </c:pt>
                <c:pt idx="186">
                  <c:v>43310</c:v>
                </c:pt>
                <c:pt idx="187">
                  <c:v>43317</c:v>
                </c:pt>
                <c:pt idx="188">
                  <c:v>43324</c:v>
                </c:pt>
                <c:pt idx="189">
                  <c:v>43331</c:v>
                </c:pt>
                <c:pt idx="190">
                  <c:v>43338</c:v>
                </c:pt>
                <c:pt idx="191">
                  <c:v>43345</c:v>
                </c:pt>
                <c:pt idx="192">
                  <c:v>43352</c:v>
                </c:pt>
                <c:pt idx="193">
                  <c:v>43359</c:v>
                </c:pt>
                <c:pt idx="194">
                  <c:v>43366</c:v>
                </c:pt>
                <c:pt idx="195">
                  <c:v>43373</c:v>
                </c:pt>
                <c:pt idx="196">
                  <c:v>43380</c:v>
                </c:pt>
                <c:pt idx="197">
                  <c:v>43387</c:v>
                </c:pt>
                <c:pt idx="198">
                  <c:v>43394</c:v>
                </c:pt>
                <c:pt idx="199">
                  <c:v>43401</c:v>
                </c:pt>
                <c:pt idx="200">
                  <c:v>43408</c:v>
                </c:pt>
                <c:pt idx="201">
                  <c:v>43415</c:v>
                </c:pt>
                <c:pt idx="202">
                  <c:v>43422</c:v>
                </c:pt>
                <c:pt idx="203">
                  <c:v>43429</c:v>
                </c:pt>
                <c:pt idx="204">
                  <c:v>43436</c:v>
                </c:pt>
                <c:pt idx="205">
                  <c:v>43443</c:v>
                </c:pt>
                <c:pt idx="206">
                  <c:v>43450</c:v>
                </c:pt>
                <c:pt idx="207">
                  <c:v>43457</c:v>
                </c:pt>
                <c:pt idx="208">
                  <c:v>43464</c:v>
                </c:pt>
                <c:pt idx="209">
                  <c:v>43471</c:v>
                </c:pt>
                <c:pt idx="210">
                  <c:v>43478</c:v>
                </c:pt>
                <c:pt idx="211">
                  <c:v>43485</c:v>
                </c:pt>
                <c:pt idx="212">
                  <c:v>43492</c:v>
                </c:pt>
                <c:pt idx="213">
                  <c:v>43499</c:v>
                </c:pt>
                <c:pt idx="214">
                  <c:v>43506</c:v>
                </c:pt>
                <c:pt idx="215">
                  <c:v>43513</c:v>
                </c:pt>
                <c:pt idx="216">
                  <c:v>43520</c:v>
                </c:pt>
                <c:pt idx="217">
                  <c:v>43527</c:v>
                </c:pt>
                <c:pt idx="218">
                  <c:v>43534</c:v>
                </c:pt>
                <c:pt idx="219">
                  <c:v>43541</c:v>
                </c:pt>
                <c:pt idx="220">
                  <c:v>43548</c:v>
                </c:pt>
                <c:pt idx="221">
                  <c:v>43555</c:v>
                </c:pt>
                <c:pt idx="222">
                  <c:v>43562</c:v>
                </c:pt>
                <c:pt idx="223">
                  <c:v>43569</c:v>
                </c:pt>
                <c:pt idx="224">
                  <c:v>43576</c:v>
                </c:pt>
                <c:pt idx="225">
                  <c:v>43583</c:v>
                </c:pt>
                <c:pt idx="226">
                  <c:v>43590</c:v>
                </c:pt>
                <c:pt idx="227">
                  <c:v>43597</c:v>
                </c:pt>
                <c:pt idx="228">
                  <c:v>43604</c:v>
                </c:pt>
                <c:pt idx="229">
                  <c:v>43611</c:v>
                </c:pt>
                <c:pt idx="230">
                  <c:v>43618</c:v>
                </c:pt>
                <c:pt idx="231">
                  <c:v>43625</c:v>
                </c:pt>
                <c:pt idx="232">
                  <c:v>43632</c:v>
                </c:pt>
                <c:pt idx="233">
                  <c:v>43639</c:v>
                </c:pt>
                <c:pt idx="234">
                  <c:v>43646</c:v>
                </c:pt>
                <c:pt idx="235">
                  <c:v>43653</c:v>
                </c:pt>
                <c:pt idx="236">
                  <c:v>43660</c:v>
                </c:pt>
                <c:pt idx="237">
                  <c:v>43667</c:v>
                </c:pt>
                <c:pt idx="238">
                  <c:v>43674</c:v>
                </c:pt>
                <c:pt idx="239">
                  <c:v>43681</c:v>
                </c:pt>
                <c:pt idx="240">
                  <c:v>43688</c:v>
                </c:pt>
                <c:pt idx="241">
                  <c:v>43695</c:v>
                </c:pt>
                <c:pt idx="242">
                  <c:v>43702</c:v>
                </c:pt>
                <c:pt idx="243">
                  <c:v>43709</c:v>
                </c:pt>
                <c:pt idx="244">
                  <c:v>43716</c:v>
                </c:pt>
                <c:pt idx="245">
                  <c:v>43723</c:v>
                </c:pt>
                <c:pt idx="246">
                  <c:v>43730</c:v>
                </c:pt>
                <c:pt idx="247">
                  <c:v>43737</c:v>
                </c:pt>
                <c:pt idx="248">
                  <c:v>43744</c:v>
                </c:pt>
                <c:pt idx="249">
                  <c:v>43751</c:v>
                </c:pt>
                <c:pt idx="250">
                  <c:v>43758</c:v>
                </c:pt>
                <c:pt idx="251">
                  <c:v>43765</c:v>
                </c:pt>
                <c:pt idx="252">
                  <c:v>43772</c:v>
                </c:pt>
                <c:pt idx="253">
                  <c:v>43779</c:v>
                </c:pt>
                <c:pt idx="254">
                  <c:v>43786</c:v>
                </c:pt>
                <c:pt idx="255">
                  <c:v>43793</c:v>
                </c:pt>
                <c:pt idx="256">
                  <c:v>43800</c:v>
                </c:pt>
                <c:pt idx="257">
                  <c:v>43807</c:v>
                </c:pt>
                <c:pt idx="258">
                  <c:v>43814</c:v>
                </c:pt>
                <c:pt idx="259">
                  <c:v>43821</c:v>
                </c:pt>
                <c:pt idx="260">
                  <c:v>43828</c:v>
                </c:pt>
                <c:pt idx="261">
                  <c:v>43835</c:v>
                </c:pt>
                <c:pt idx="262">
                  <c:v>43842</c:v>
                </c:pt>
                <c:pt idx="263">
                  <c:v>43849</c:v>
                </c:pt>
                <c:pt idx="264">
                  <c:v>43856</c:v>
                </c:pt>
                <c:pt idx="265">
                  <c:v>43863</c:v>
                </c:pt>
                <c:pt idx="266">
                  <c:v>43870</c:v>
                </c:pt>
                <c:pt idx="267">
                  <c:v>43877</c:v>
                </c:pt>
                <c:pt idx="268">
                  <c:v>43884</c:v>
                </c:pt>
                <c:pt idx="269">
                  <c:v>43891</c:v>
                </c:pt>
                <c:pt idx="270">
                  <c:v>43898</c:v>
                </c:pt>
                <c:pt idx="271">
                  <c:v>43905</c:v>
                </c:pt>
                <c:pt idx="272">
                  <c:v>43912</c:v>
                </c:pt>
                <c:pt idx="273">
                  <c:v>43919</c:v>
                </c:pt>
              </c:numCache>
            </c:numRef>
          </c:cat>
          <c:val>
            <c:numRef>
              <c:f>'Listed&amp;Price'!$G$19:$G$292</c:f>
              <c:numCache>
                <c:formatCode>General</c:formatCode>
                <c:ptCount val="274"/>
                <c:pt idx="0">
                  <c:v>100</c:v>
                </c:pt>
                <c:pt idx="1">
                  <c:v>100.48</c:v>
                </c:pt>
                <c:pt idx="2">
                  <c:v>100.13</c:v>
                </c:pt>
                <c:pt idx="3">
                  <c:v>100.15</c:v>
                </c:pt>
                <c:pt idx="4">
                  <c:v>100.25</c:v>
                </c:pt>
                <c:pt idx="5">
                  <c:v>100.15</c:v>
                </c:pt>
                <c:pt idx="6">
                  <c:v>100.36</c:v>
                </c:pt>
                <c:pt idx="7">
                  <c:v>101.88</c:v>
                </c:pt>
                <c:pt idx="8">
                  <c:v>100.41</c:v>
                </c:pt>
                <c:pt idx="9">
                  <c:v>100.28</c:v>
                </c:pt>
                <c:pt idx="10">
                  <c:v>100.31</c:v>
                </c:pt>
                <c:pt idx="11">
                  <c:v>100.4</c:v>
                </c:pt>
                <c:pt idx="12">
                  <c:v>100.36</c:v>
                </c:pt>
                <c:pt idx="13">
                  <c:v>100.46</c:v>
                </c:pt>
                <c:pt idx="14">
                  <c:v>100.48</c:v>
                </c:pt>
                <c:pt idx="15">
                  <c:v>101.37</c:v>
                </c:pt>
                <c:pt idx="16">
                  <c:v>101.39</c:v>
                </c:pt>
                <c:pt idx="17">
                  <c:v>101.57</c:v>
                </c:pt>
                <c:pt idx="18">
                  <c:v>101.22</c:v>
                </c:pt>
                <c:pt idx="19">
                  <c:v>101.08</c:v>
                </c:pt>
                <c:pt idx="20">
                  <c:v>101.14</c:v>
                </c:pt>
                <c:pt idx="21">
                  <c:v>100.96</c:v>
                </c:pt>
                <c:pt idx="22">
                  <c:v>100.98</c:v>
                </c:pt>
                <c:pt idx="23">
                  <c:v>100.84</c:v>
                </c:pt>
                <c:pt idx="24">
                  <c:v>100.83</c:v>
                </c:pt>
                <c:pt idx="25">
                  <c:v>100.81</c:v>
                </c:pt>
                <c:pt idx="26">
                  <c:v>101.5</c:v>
                </c:pt>
                <c:pt idx="27">
                  <c:v>101.5</c:v>
                </c:pt>
                <c:pt idx="28">
                  <c:v>101.67</c:v>
                </c:pt>
                <c:pt idx="29">
                  <c:v>101.68</c:v>
                </c:pt>
                <c:pt idx="30">
                  <c:v>102.09</c:v>
                </c:pt>
                <c:pt idx="31">
                  <c:v>101.67</c:v>
                </c:pt>
                <c:pt idx="32">
                  <c:v>101.44</c:v>
                </c:pt>
                <c:pt idx="33">
                  <c:v>101.62</c:v>
                </c:pt>
                <c:pt idx="34">
                  <c:v>101.78</c:v>
                </c:pt>
                <c:pt idx="35">
                  <c:v>101.78</c:v>
                </c:pt>
                <c:pt idx="36">
                  <c:v>102.22</c:v>
                </c:pt>
                <c:pt idx="37">
                  <c:v>102.31</c:v>
                </c:pt>
                <c:pt idx="38">
                  <c:v>102.31</c:v>
                </c:pt>
                <c:pt idx="39">
                  <c:v>102.15</c:v>
                </c:pt>
                <c:pt idx="40">
                  <c:v>103.19</c:v>
                </c:pt>
                <c:pt idx="41">
                  <c:v>102.12</c:v>
                </c:pt>
                <c:pt idx="42">
                  <c:v>102.35</c:v>
                </c:pt>
                <c:pt idx="43">
                  <c:v>102.34</c:v>
                </c:pt>
                <c:pt idx="44">
                  <c:v>102.54</c:v>
                </c:pt>
                <c:pt idx="45">
                  <c:v>102.44</c:v>
                </c:pt>
                <c:pt idx="46">
                  <c:v>102.41</c:v>
                </c:pt>
                <c:pt idx="47">
                  <c:v>102.81</c:v>
                </c:pt>
                <c:pt idx="48">
                  <c:v>103.24</c:v>
                </c:pt>
                <c:pt idx="49">
                  <c:v>103.22</c:v>
                </c:pt>
                <c:pt idx="50">
                  <c:v>103.28</c:v>
                </c:pt>
                <c:pt idx="51">
                  <c:v>103.35</c:v>
                </c:pt>
                <c:pt idx="52">
                  <c:v>103.18</c:v>
                </c:pt>
                <c:pt idx="53">
                  <c:v>103.84</c:v>
                </c:pt>
                <c:pt idx="54">
                  <c:v>103.91</c:v>
                </c:pt>
                <c:pt idx="55">
                  <c:v>104.13</c:v>
                </c:pt>
                <c:pt idx="56">
                  <c:v>104.44</c:v>
                </c:pt>
                <c:pt idx="57">
                  <c:v>103.94</c:v>
                </c:pt>
                <c:pt idx="58">
                  <c:v>103.62</c:v>
                </c:pt>
                <c:pt idx="59">
                  <c:v>104.36</c:v>
                </c:pt>
                <c:pt idx="60">
                  <c:v>104.82</c:v>
                </c:pt>
                <c:pt idx="61">
                  <c:v>106.62</c:v>
                </c:pt>
                <c:pt idx="62">
                  <c:v>108.13</c:v>
                </c:pt>
                <c:pt idx="63">
                  <c:v>107.63</c:v>
                </c:pt>
                <c:pt idx="64">
                  <c:v>108.24</c:v>
                </c:pt>
                <c:pt idx="65">
                  <c:v>108.97</c:v>
                </c:pt>
                <c:pt idx="66">
                  <c:v>108.79</c:v>
                </c:pt>
                <c:pt idx="67">
                  <c:v>109.09</c:v>
                </c:pt>
                <c:pt idx="68">
                  <c:v>110.11</c:v>
                </c:pt>
                <c:pt idx="69">
                  <c:v>110.73</c:v>
                </c:pt>
                <c:pt idx="70">
                  <c:v>111.05</c:v>
                </c:pt>
                <c:pt idx="71">
                  <c:v>111.1</c:v>
                </c:pt>
                <c:pt idx="72">
                  <c:v>111.14</c:v>
                </c:pt>
                <c:pt idx="73">
                  <c:v>112.28</c:v>
                </c:pt>
                <c:pt idx="74">
                  <c:v>113.83</c:v>
                </c:pt>
                <c:pt idx="75">
                  <c:v>113.87</c:v>
                </c:pt>
                <c:pt idx="76">
                  <c:v>114.25</c:v>
                </c:pt>
                <c:pt idx="77">
                  <c:v>114.52</c:v>
                </c:pt>
                <c:pt idx="78">
                  <c:v>114.57</c:v>
                </c:pt>
                <c:pt idx="79">
                  <c:v>114.68</c:v>
                </c:pt>
                <c:pt idx="80">
                  <c:v>114.88</c:v>
                </c:pt>
                <c:pt idx="81">
                  <c:v>115.44</c:v>
                </c:pt>
                <c:pt idx="82">
                  <c:v>114.85</c:v>
                </c:pt>
                <c:pt idx="83">
                  <c:v>115.35</c:v>
                </c:pt>
                <c:pt idx="84">
                  <c:v>115.78</c:v>
                </c:pt>
                <c:pt idx="85">
                  <c:v>116.14</c:v>
                </c:pt>
                <c:pt idx="86">
                  <c:v>116.93</c:v>
                </c:pt>
                <c:pt idx="87">
                  <c:v>118.41</c:v>
                </c:pt>
                <c:pt idx="88">
                  <c:v>118.41</c:v>
                </c:pt>
                <c:pt idx="89">
                  <c:v>120.21</c:v>
                </c:pt>
                <c:pt idx="90">
                  <c:v>121.37</c:v>
                </c:pt>
                <c:pt idx="91">
                  <c:v>122.93</c:v>
                </c:pt>
                <c:pt idx="92">
                  <c:v>123.69</c:v>
                </c:pt>
                <c:pt idx="93">
                  <c:v>124.61</c:v>
                </c:pt>
                <c:pt idx="94">
                  <c:v>126.21</c:v>
                </c:pt>
                <c:pt idx="95">
                  <c:v>126.82</c:v>
                </c:pt>
                <c:pt idx="96">
                  <c:v>128.27000000000001</c:v>
                </c:pt>
                <c:pt idx="97">
                  <c:v>128.49</c:v>
                </c:pt>
                <c:pt idx="98">
                  <c:v>129</c:v>
                </c:pt>
                <c:pt idx="99">
                  <c:v>129.33000000000001</c:v>
                </c:pt>
                <c:pt idx="100">
                  <c:v>129.85</c:v>
                </c:pt>
                <c:pt idx="101">
                  <c:v>130.41</c:v>
                </c:pt>
                <c:pt idx="102">
                  <c:v>131.04</c:v>
                </c:pt>
                <c:pt idx="103">
                  <c:v>132.35</c:v>
                </c:pt>
                <c:pt idx="104">
                  <c:v>132.97999999999999</c:v>
                </c:pt>
                <c:pt idx="105">
                  <c:v>132.96</c:v>
                </c:pt>
                <c:pt idx="106">
                  <c:v>133.26</c:v>
                </c:pt>
                <c:pt idx="107">
                  <c:v>132.38</c:v>
                </c:pt>
                <c:pt idx="108">
                  <c:v>131.62</c:v>
                </c:pt>
                <c:pt idx="109">
                  <c:v>133.51</c:v>
                </c:pt>
                <c:pt idx="110">
                  <c:v>134.88999999999999</c:v>
                </c:pt>
                <c:pt idx="111">
                  <c:v>136.41999999999999</c:v>
                </c:pt>
                <c:pt idx="112">
                  <c:v>137.27000000000001</c:v>
                </c:pt>
                <c:pt idx="113">
                  <c:v>138.85</c:v>
                </c:pt>
                <c:pt idx="114">
                  <c:v>139.78</c:v>
                </c:pt>
                <c:pt idx="115">
                  <c:v>140.65</c:v>
                </c:pt>
                <c:pt idx="116">
                  <c:v>141.47</c:v>
                </c:pt>
                <c:pt idx="117">
                  <c:v>142.4</c:v>
                </c:pt>
                <c:pt idx="118">
                  <c:v>142.97</c:v>
                </c:pt>
                <c:pt idx="119">
                  <c:v>144.75</c:v>
                </c:pt>
                <c:pt idx="120">
                  <c:v>147.87</c:v>
                </c:pt>
                <c:pt idx="121">
                  <c:v>144.51</c:v>
                </c:pt>
                <c:pt idx="122">
                  <c:v>147.86000000000001</c:v>
                </c:pt>
                <c:pt idx="123">
                  <c:v>148.62</c:v>
                </c:pt>
                <c:pt idx="124">
                  <c:v>149.63999999999999</c:v>
                </c:pt>
                <c:pt idx="125">
                  <c:v>151.19</c:v>
                </c:pt>
                <c:pt idx="126">
                  <c:v>151.47999999999999</c:v>
                </c:pt>
                <c:pt idx="127">
                  <c:v>152.44999999999999</c:v>
                </c:pt>
                <c:pt idx="128">
                  <c:v>152.53</c:v>
                </c:pt>
                <c:pt idx="129">
                  <c:v>153.27000000000001</c:v>
                </c:pt>
                <c:pt idx="130">
                  <c:v>153.27000000000001</c:v>
                </c:pt>
                <c:pt idx="131">
                  <c:v>154.52000000000001</c:v>
                </c:pt>
                <c:pt idx="132">
                  <c:v>153.88</c:v>
                </c:pt>
                <c:pt idx="133">
                  <c:v>154.01</c:v>
                </c:pt>
                <c:pt idx="134">
                  <c:v>155.08000000000001</c:v>
                </c:pt>
                <c:pt idx="135">
                  <c:v>155.22</c:v>
                </c:pt>
                <c:pt idx="136">
                  <c:v>155.66</c:v>
                </c:pt>
                <c:pt idx="137">
                  <c:v>154.86000000000001</c:v>
                </c:pt>
                <c:pt idx="138">
                  <c:v>155.51</c:v>
                </c:pt>
                <c:pt idx="139">
                  <c:v>155.26</c:v>
                </c:pt>
                <c:pt idx="140">
                  <c:v>156.47</c:v>
                </c:pt>
                <c:pt idx="141">
                  <c:v>157.36000000000001</c:v>
                </c:pt>
                <c:pt idx="142">
                  <c:v>157.16</c:v>
                </c:pt>
                <c:pt idx="143">
                  <c:v>158.32</c:v>
                </c:pt>
                <c:pt idx="144">
                  <c:v>159.55000000000001</c:v>
                </c:pt>
                <c:pt idx="145">
                  <c:v>158.97</c:v>
                </c:pt>
                <c:pt idx="146">
                  <c:v>159.29</c:v>
                </c:pt>
                <c:pt idx="147">
                  <c:v>159.88</c:v>
                </c:pt>
                <c:pt idx="148">
                  <c:v>160.5</c:v>
                </c:pt>
                <c:pt idx="149">
                  <c:v>160.63</c:v>
                </c:pt>
                <c:pt idx="150">
                  <c:v>161.02000000000001</c:v>
                </c:pt>
                <c:pt idx="151">
                  <c:v>161.38999999999999</c:v>
                </c:pt>
                <c:pt idx="152">
                  <c:v>162.02000000000001</c:v>
                </c:pt>
                <c:pt idx="153">
                  <c:v>161.97</c:v>
                </c:pt>
                <c:pt idx="154">
                  <c:v>162.31</c:v>
                </c:pt>
                <c:pt idx="155">
                  <c:v>164.08</c:v>
                </c:pt>
                <c:pt idx="156">
                  <c:v>164.84</c:v>
                </c:pt>
                <c:pt idx="157">
                  <c:v>164.59</c:v>
                </c:pt>
                <c:pt idx="158">
                  <c:v>164.49</c:v>
                </c:pt>
                <c:pt idx="159">
                  <c:v>164.99</c:v>
                </c:pt>
                <c:pt idx="160">
                  <c:v>165.73</c:v>
                </c:pt>
                <c:pt idx="161">
                  <c:v>165.72</c:v>
                </c:pt>
                <c:pt idx="162">
                  <c:v>165.64</c:v>
                </c:pt>
                <c:pt idx="163">
                  <c:v>166.73</c:v>
                </c:pt>
                <c:pt idx="164">
                  <c:v>165.35</c:v>
                </c:pt>
                <c:pt idx="165">
                  <c:v>167.06</c:v>
                </c:pt>
                <c:pt idx="166">
                  <c:v>168.04</c:v>
                </c:pt>
                <c:pt idx="167">
                  <c:v>168.82</c:v>
                </c:pt>
                <c:pt idx="168">
                  <c:v>169.34</c:v>
                </c:pt>
                <c:pt idx="169">
                  <c:v>170.14</c:v>
                </c:pt>
                <c:pt idx="170">
                  <c:v>170.36</c:v>
                </c:pt>
                <c:pt idx="171">
                  <c:v>168.56</c:v>
                </c:pt>
                <c:pt idx="172">
                  <c:v>171.28</c:v>
                </c:pt>
                <c:pt idx="173">
                  <c:v>174.15</c:v>
                </c:pt>
                <c:pt idx="174">
                  <c:v>174.66</c:v>
                </c:pt>
                <c:pt idx="175">
                  <c:v>175.19</c:v>
                </c:pt>
                <c:pt idx="176">
                  <c:v>176.83</c:v>
                </c:pt>
                <c:pt idx="177">
                  <c:v>176.11</c:v>
                </c:pt>
                <c:pt idx="178">
                  <c:v>177.38</c:v>
                </c:pt>
                <c:pt idx="179">
                  <c:v>178.39</c:v>
                </c:pt>
                <c:pt idx="180">
                  <c:v>179.69</c:v>
                </c:pt>
                <c:pt idx="181">
                  <c:v>179.71</c:v>
                </c:pt>
                <c:pt idx="182">
                  <c:v>181.7</c:v>
                </c:pt>
                <c:pt idx="183">
                  <c:v>182.53</c:v>
                </c:pt>
                <c:pt idx="184">
                  <c:v>182.55</c:v>
                </c:pt>
                <c:pt idx="185">
                  <c:v>182.55</c:v>
                </c:pt>
                <c:pt idx="186">
                  <c:v>182.18</c:v>
                </c:pt>
                <c:pt idx="187">
                  <c:v>183.76</c:v>
                </c:pt>
                <c:pt idx="188">
                  <c:v>183.8</c:v>
                </c:pt>
                <c:pt idx="189">
                  <c:v>183.63</c:v>
                </c:pt>
                <c:pt idx="190">
                  <c:v>183.77</c:v>
                </c:pt>
                <c:pt idx="191">
                  <c:v>184.18</c:v>
                </c:pt>
                <c:pt idx="192">
                  <c:v>184.07</c:v>
                </c:pt>
                <c:pt idx="193">
                  <c:v>184.07</c:v>
                </c:pt>
                <c:pt idx="194">
                  <c:v>183.64</c:v>
                </c:pt>
                <c:pt idx="195">
                  <c:v>183.87</c:v>
                </c:pt>
                <c:pt idx="196">
                  <c:v>183.79</c:v>
                </c:pt>
                <c:pt idx="197">
                  <c:v>183.53</c:v>
                </c:pt>
                <c:pt idx="198">
                  <c:v>183.26</c:v>
                </c:pt>
                <c:pt idx="199">
                  <c:v>183.11</c:v>
                </c:pt>
                <c:pt idx="200">
                  <c:v>183.27</c:v>
                </c:pt>
                <c:pt idx="201">
                  <c:v>182.72</c:v>
                </c:pt>
                <c:pt idx="202">
                  <c:v>181.73</c:v>
                </c:pt>
                <c:pt idx="203">
                  <c:v>181.02</c:v>
                </c:pt>
                <c:pt idx="204">
                  <c:v>181.18</c:v>
                </c:pt>
                <c:pt idx="205">
                  <c:v>180.97</c:v>
                </c:pt>
                <c:pt idx="206">
                  <c:v>180.42</c:v>
                </c:pt>
                <c:pt idx="207">
                  <c:v>180.44</c:v>
                </c:pt>
                <c:pt idx="208">
                  <c:v>180.07</c:v>
                </c:pt>
                <c:pt idx="209">
                  <c:v>179.15</c:v>
                </c:pt>
                <c:pt idx="210">
                  <c:v>178.5</c:v>
                </c:pt>
                <c:pt idx="211">
                  <c:v>178.72</c:v>
                </c:pt>
                <c:pt idx="212">
                  <c:v>178.96</c:v>
                </c:pt>
                <c:pt idx="213">
                  <c:v>179.75</c:v>
                </c:pt>
                <c:pt idx="214">
                  <c:v>179.45</c:v>
                </c:pt>
                <c:pt idx="215">
                  <c:v>180.14</c:v>
                </c:pt>
                <c:pt idx="216">
                  <c:v>180.67</c:v>
                </c:pt>
                <c:pt idx="217">
                  <c:v>180.58</c:v>
                </c:pt>
                <c:pt idx="218">
                  <c:v>180.9</c:v>
                </c:pt>
                <c:pt idx="219">
                  <c:v>181.5</c:v>
                </c:pt>
                <c:pt idx="220">
                  <c:v>181.52</c:v>
                </c:pt>
                <c:pt idx="221">
                  <c:v>181.77</c:v>
                </c:pt>
                <c:pt idx="222">
                  <c:v>181.95</c:v>
                </c:pt>
                <c:pt idx="223">
                  <c:v>182.29</c:v>
                </c:pt>
                <c:pt idx="224">
                  <c:v>182.15</c:v>
                </c:pt>
                <c:pt idx="225">
                  <c:v>182.74</c:v>
                </c:pt>
                <c:pt idx="226">
                  <c:v>182.94</c:v>
                </c:pt>
                <c:pt idx="227">
                  <c:v>182.89</c:v>
                </c:pt>
                <c:pt idx="228">
                  <c:v>181.5</c:v>
                </c:pt>
                <c:pt idx="229">
                  <c:v>181.4</c:v>
                </c:pt>
                <c:pt idx="230">
                  <c:v>181.91</c:v>
                </c:pt>
                <c:pt idx="231">
                  <c:v>181.89</c:v>
                </c:pt>
                <c:pt idx="232">
                  <c:v>182</c:v>
                </c:pt>
                <c:pt idx="233">
                  <c:v>182.07</c:v>
                </c:pt>
                <c:pt idx="234">
                  <c:v>182.17</c:v>
                </c:pt>
                <c:pt idx="235">
                  <c:v>181.99</c:v>
                </c:pt>
                <c:pt idx="236">
                  <c:v>182.32</c:v>
                </c:pt>
                <c:pt idx="237">
                  <c:v>182.61</c:v>
                </c:pt>
                <c:pt idx="238">
                  <c:v>182.41</c:v>
                </c:pt>
                <c:pt idx="239">
                  <c:v>182.45</c:v>
                </c:pt>
                <c:pt idx="240">
                  <c:v>182.19</c:v>
                </c:pt>
                <c:pt idx="241">
                  <c:v>182.28</c:v>
                </c:pt>
                <c:pt idx="242">
                  <c:v>182.32</c:v>
                </c:pt>
                <c:pt idx="243">
                  <c:v>183.17</c:v>
                </c:pt>
                <c:pt idx="244">
                  <c:v>183.14</c:v>
                </c:pt>
                <c:pt idx="245">
                  <c:v>182.59</c:v>
                </c:pt>
                <c:pt idx="246">
                  <c:v>182.83</c:v>
                </c:pt>
                <c:pt idx="247">
                  <c:v>182.76</c:v>
                </c:pt>
                <c:pt idx="248">
                  <c:v>182.41</c:v>
                </c:pt>
                <c:pt idx="249">
                  <c:v>182.48</c:v>
                </c:pt>
                <c:pt idx="250">
                  <c:v>182.19</c:v>
                </c:pt>
                <c:pt idx="251">
                  <c:v>182.07</c:v>
                </c:pt>
                <c:pt idx="252">
                  <c:v>182.05</c:v>
                </c:pt>
                <c:pt idx="253">
                  <c:v>181.89</c:v>
                </c:pt>
                <c:pt idx="254">
                  <c:v>181.85</c:v>
                </c:pt>
                <c:pt idx="255">
                  <c:v>181.92</c:v>
                </c:pt>
                <c:pt idx="256">
                  <c:v>181.66</c:v>
                </c:pt>
                <c:pt idx="257">
                  <c:v>182.34</c:v>
                </c:pt>
                <c:pt idx="258">
                  <c:v>182.3</c:v>
                </c:pt>
                <c:pt idx="259">
                  <c:v>182.22</c:v>
                </c:pt>
                <c:pt idx="260">
                  <c:v>182.29</c:v>
                </c:pt>
                <c:pt idx="261">
                  <c:v>182.25</c:v>
                </c:pt>
                <c:pt idx="262">
                  <c:v>182.37</c:v>
                </c:pt>
                <c:pt idx="263">
                  <c:v>182.49</c:v>
                </c:pt>
                <c:pt idx="264">
                  <c:v>182.29</c:v>
                </c:pt>
                <c:pt idx="265">
                  <c:v>182.19</c:v>
                </c:pt>
                <c:pt idx="266">
                  <c:v>182.3</c:v>
                </c:pt>
                <c:pt idx="267">
                  <c:v>182.4</c:v>
                </c:pt>
                <c:pt idx="268">
                  <c:v>182.51</c:v>
                </c:pt>
                <c:pt idx="269">
                  <c:v>182.6</c:v>
                </c:pt>
                <c:pt idx="270">
                  <c:v>182.76</c:v>
                </c:pt>
                <c:pt idx="271">
                  <c:v>182.88</c:v>
                </c:pt>
                <c:pt idx="272">
                  <c:v>182.97</c:v>
                </c:pt>
                <c:pt idx="273">
                  <c:v>182.99</c:v>
                </c:pt>
              </c:numCache>
            </c:numRef>
          </c:val>
          <c:smooth val="1"/>
          <c:extLst>
            <c:ext xmlns:c16="http://schemas.microsoft.com/office/drawing/2014/chart" uri="{C3380CC4-5D6E-409C-BE32-E72D297353CC}">
              <c16:uniqueId val="{00000001-0E91-4C2C-BFAC-CEB5F8ADA182}"/>
            </c:ext>
          </c:extLst>
        </c:ser>
        <c:dLbls>
          <c:showLegendKey val="0"/>
          <c:showVal val="0"/>
          <c:showCatName val="0"/>
          <c:showSerName val="0"/>
          <c:showPercent val="0"/>
          <c:showBubbleSize val="0"/>
        </c:dLbls>
        <c:marker val="1"/>
        <c:smooth val="0"/>
        <c:axId val="-2022695648"/>
        <c:axId val="-2022685856"/>
      </c:lineChart>
      <c:dateAx>
        <c:axId val="-2022688032"/>
        <c:scaling>
          <c:orientation val="minMax"/>
        </c:scaling>
        <c:delete val="0"/>
        <c:axPos val="b"/>
        <c:numFmt formatCode="yyyy/mm"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86400"/>
        <c:crosses val="autoZero"/>
        <c:auto val="1"/>
        <c:lblOffset val="100"/>
        <c:baseTimeUnit val="days"/>
      </c:dateAx>
      <c:valAx>
        <c:axId val="-2022686400"/>
        <c:scaling>
          <c:orientation val="minMax"/>
        </c:scaling>
        <c:delete val="0"/>
        <c:axPos val="l"/>
        <c:numFmt formatCode="General" sourceLinked="1"/>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88032"/>
        <c:crosses val="autoZero"/>
        <c:crossBetween val="between"/>
      </c:valAx>
      <c:valAx>
        <c:axId val="-2022685856"/>
        <c:scaling>
          <c:orientation val="minMax"/>
        </c:scaling>
        <c:delete val="0"/>
        <c:axPos val="r"/>
        <c:numFmt formatCode="General" sourceLinked="1"/>
        <c:majorTickMark val="in"/>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crossAx val="-2022695648"/>
        <c:crosses val="max"/>
        <c:crossBetween val="between"/>
      </c:valAx>
      <c:dateAx>
        <c:axId val="-2022695648"/>
        <c:scaling>
          <c:orientation val="minMax"/>
        </c:scaling>
        <c:delete val="1"/>
        <c:axPos val="b"/>
        <c:numFmt formatCode="m/d/yyyy" sourceLinked="1"/>
        <c:majorTickMark val="out"/>
        <c:minorTickMark val="none"/>
        <c:tickLblPos val="nextTo"/>
        <c:crossAx val="-2022685856"/>
        <c:crosses val="autoZero"/>
        <c:auto val="1"/>
        <c:lblOffset val="100"/>
        <c:baseTimeUnit val="days"/>
      </c:dateAx>
      <c:spPr>
        <a:noFill/>
        <a:ln w="25400">
          <a:noFill/>
        </a:ln>
        <a:effectLst/>
      </c:spPr>
    </c:plotArea>
    <c:legend>
      <c:legendPos val="b"/>
      <c:layout>
        <c:manualLayout>
          <c:xMode val="edge"/>
          <c:yMode val="edge"/>
          <c:x val="0.23310176318050332"/>
          <c:y val="1.4793605344786448E-3"/>
          <c:w val="0.6819443065112355"/>
          <c:h val="0.18568641486659088"/>
        </c:manualLayout>
      </c:layout>
      <c:overlay val="0"/>
      <c:spPr>
        <a:noFill/>
        <a:ln w="25400">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楷体" panose="02010609060101010101" pitchFamily="49" charset="-122"/>
              <a:cs typeface="华文细黑"/>
            </a:defRPr>
          </a:pPr>
          <a:endParaRPr lang="zh-CN"/>
        </a:p>
      </c:txPr>
    </c:legend>
    <c:plotVisOnly val="1"/>
    <c:dispBlanksAs val="gap"/>
    <c:showDLblsOverMax val="0"/>
  </c:chart>
  <c:spPr>
    <a:solidFill>
      <a:srgbClr val="FFFFFF"/>
    </a:solidFill>
    <a:ln w="25400" cap="flat" cmpd="sng" algn="ctr">
      <a:noFill/>
      <a:round/>
    </a:ln>
    <a:effectLst/>
  </c:spPr>
  <c:txPr>
    <a:bodyPr/>
    <a:lstStyle/>
    <a:p>
      <a:pPr>
        <a:defRPr sz="800" baseline="0">
          <a:solidFill>
            <a:schemeClr val="tx1"/>
          </a:solidFill>
          <a:latin typeface="Times New Roman" panose="02020603050405020304" pitchFamily="18" charset="0"/>
          <a:ea typeface="楷体" panose="02010609060101010101" pitchFamily="49" charset="-122"/>
          <a:cs typeface="华文细黑"/>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自定义 1">
      <a:dk1>
        <a:sysClr val="windowText" lastClr="000000"/>
      </a:dk1>
      <a:lt1>
        <a:sysClr val="window" lastClr="FFFFFF"/>
      </a:lt1>
      <a:dk2>
        <a:srgbClr val="1F497D"/>
      </a:dk2>
      <a:lt2>
        <a:srgbClr val="EEECE1"/>
      </a:lt2>
      <a:accent1>
        <a:srgbClr val="C00000"/>
      </a:accent1>
      <a:accent2>
        <a:srgbClr val="A5A5A5"/>
      </a:accent2>
      <a:accent3>
        <a:srgbClr val="D99694"/>
      </a:accent3>
      <a:accent4>
        <a:srgbClr val="E5B9B7"/>
      </a:accent4>
      <a:accent5>
        <a:srgbClr val="F2DCDB"/>
      </a:accent5>
      <a:accent6>
        <a:srgbClr val="BFBFBF"/>
      </a:accent6>
      <a:hlink>
        <a:srgbClr val="D8D8D8"/>
      </a:hlink>
      <a:folHlink>
        <a:srgbClr val="F2F2F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F7668-C49F-4193-AD25-AC0DE993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Sector _ tempalte_EN.dotx</Template>
  <TotalTime>256</TotalTime>
  <Pages>21</Pages>
  <Words>6690</Words>
  <Characters>9234</Characters>
  <Application>Microsoft Office Word</Application>
  <DocSecurity>0</DocSecurity>
  <Lines>1154</Lines>
  <Paragraphs>1592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dc:creator>
  <cp:keywords/>
  <dc:description/>
  <cp:lastModifiedBy>Linsay Sugar</cp:lastModifiedBy>
  <cp:revision>35</cp:revision>
  <cp:lastPrinted>2019-11-02T13:23:00Z</cp:lastPrinted>
  <dcterms:created xsi:type="dcterms:W3CDTF">2020-04-05T14:55:00Z</dcterms:created>
  <dcterms:modified xsi:type="dcterms:W3CDTF">2020-04-06T08:18:00Z</dcterms:modified>
</cp:coreProperties>
</file>